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5-0504</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大冶市人民医院合理用药维保服务单一来源采购项目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14:paraId="514375E2">
      <w:pPr>
        <w:pStyle w:val="18"/>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11"/>
        <w:tabs>
          <w:tab w:val="right" w:leader="dot" w:pos="8296"/>
          <w:tab w:val="clear" w:pos="9061"/>
        </w:tabs>
        <w:rPr>
          <w:rStyle w:val="17"/>
          <w:rFonts w:ascii="宋体" w:hAnsi="宋体"/>
          <w:color w:val="auto"/>
          <w:szCs w:val="22"/>
        </w:rPr>
      </w:pPr>
    </w:p>
    <w:p w14:paraId="11053699">
      <w:pPr>
        <w:pStyle w:val="11"/>
        <w:tabs>
          <w:tab w:val="right" w:leader="dot" w:pos="9060"/>
          <w:tab w:val="clear" w:pos="9061"/>
        </w:tabs>
        <w:rPr>
          <w:rFonts w:ascii="等线" w:hAnsi="等线" w:eastAsia="等线"/>
          <w:szCs w:val="22"/>
        </w:rPr>
      </w:pPr>
      <w:r>
        <w:rPr>
          <w:rFonts w:ascii="宋体" w:hAnsi="宋体"/>
          <w:sz w:val="28"/>
          <w:szCs w:val="28"/>
        </w:rPr>
        <w:fldChar w:fldCharType="begin"/>
      </w:r>
      <w:r>
        <w:rPr>
          <w:rStyle w:val="17"/>
          <w:rFonts w:ascii="宋体" w:hAnsi="宋体"/>
          <w:color w:val="auto"/>
          <w:sz w:val="28"/>
          <w:szCs w:val="28"/>
        </w:rPr>
        <w:instrText xml:space="preserve"> TOC \o "1-3" \h \z \u </w:instrText>
      </w:r>
      <w:r>
        <w:rPr>
          <w:rFonts w:ascii="宋体" w:hAnsi="宋体"/>
          <w:sz w:val="28"/>
          <w:szCs w:val="28"/>
        </w:rPr>
        <w:fldChar w:fldCharType="separate"/>
      </w:r>
      <w:r>
        <w:rPr>
          <w:rStyle w:val="17"/>
          <w:color w:val="auto"/>
        </w:rPr>
        <w:fldChar w:fldCharType="begin"/>
      </w:r>
      <w:r>
        <w:rPr>
          <w:rStyle w:val="17"/>
          <w:color w:val="auto"/>
        </w:rPr>
        <w:instrText xml:space="preserve"> </w:instrText>
      </w:r>
      <w:r>
        <w:instrText xml:space="preserve">HYPERLINK \l "_Toc112435656"</w:instrText>
      </w:r>
      <w:r>
        <w:rPr>
          <w:rStyle w:val="17"/>
          <w:color w:val="auto"/>
        </w:rPr>
        <w:instrText xml:space="preserve"> </w:instrText>
      </w:r>
      <w:r>
        <w:rPr>
          <w:rStyle w:val="17"/>
          <w:color w:val="auto"/>
        </w:rPr>
        <w:fldChar w:fldCharType="separate"/>
      </w:r>
      <w:r>
        <w:rPr>
          <w:rStyle w:val="17"/>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7"/>
          <w:color w:val="auto"/>
        </w:rPr>
        <w:fldChar w:fldCharType="end"/>
      </w:r>
    </w:p>
    <w:p w14:paraId="69419398">
      <w:pPr>
        <w:pStyle w:val="11"/>
        <w:tabs>
          <w:tab w:val="right" w:leader="dot" w:pos="9060"/>
          <w:tab w:val="clear" w:pos="9061"/>
        </w:tabs>
        <w:rPr>
          <w:rFonts w:ascii="等线" w:hAnsi="等线" w:eastAsia="等线"/>
          <w:szCs w:val="22"/>
        </w:rPr>
      </w:pPr>
      <w:r>
        <w:rPr>
          <w:rStyle w:val="17"/>
          <w:color w:val="auto"/>
        </w:rPr>
        <w:fldChar w:fldCharType="begin"/>
      </w:r>
      <w:r>
        <w:rPr>
          <w:rStyle w:val="17"/>
          <w:color w:val="auto"/>
        </w:rPr>
        <w:instrText xml:space="preserve"> </w:instrText>
      </w:r>
      <w:r>
        <w:instrText xml:space="preserve">HYPERLINK \l "_Toc112435657"</w:instrText>
      </w:r>
      <w:r>
        <w:rPr>
          <w:rStyle w:val="17"/>
          <w:color w:val="auto"/>
        </w:rPr>
        <w:instrText xml:space="preserve"> </w:instrText>
      </w:r>
      <w:r>
        <w:rPr>
          <w:rStyle w:val="17"/>
          <w:color w:val="auto"/>
        </w:rPr>
        <w:fldChar w:fldCharType="separate"/>
      </w:r>
      <w:r>
        <w:rPr>
          <w:rStyle w:val="17"/>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7"/>
          <w:color w:val="auto"/>
        </w:rPr>
        <w:fldChar w:fldCharType="end"/>
      </w:r>
    </w:p>
    <w:p w14:paraId="58B85C89">
      <w:pPr>
        <w:pStyle w:val="11"/>
        <w:tabs>
          <w:tab w:val="right" w:leader="dot" w:pos="9060"/>
          <w:tab w:val="clear" w:pos="9061"/>
        </w:tabs>
        <w:rPr>
          <w:rFonts w:ascii="等线" w:hAnsi="等线" w:eastAsia="等线"/>
          <w:kern w:val="2"/>
        </w:rPr>
      </w:pPr>
      <w:r>
        <w:rPr>
          <w:rStyle w:val="17"/>
          <w:color w:val="auto"/>
        </w:rPr>
        <w:fldChar w:fldCharType="begin"/>
      </w:r>
      <w:r>
        <w:rPr>
          <w:rStyle w:val="17"/>
          <w:color w:val="auto"/>
        </w:rPr>
        <w:instrText xml:space="preserve"> </w:instrText>
      </w:r>
      <w:r>
        <w:instrText xml:space="preserve">HYPERLINK \l "_Toc112435658"</w:instrText>
      </w:r>
      <w:r>
        <w:rPr>
          <w:rStyle w:val="17"/>
          <w:color w:val="auto"/>
        </w:rPr>
        <w:instrText xml:space="preserve"> </w:instrText>
      </w:r>
      <w:r>
        <w:rPr>
          <w:rStyle w:val="17"/>
          <w:color w:val="auto"/>
        </w:rPr>
        <w:fldChar w:fldCharType="separate"/>
      </w:r>
      <w:r>
        <w:rPr>
          <w:rStyle w:val="17"/>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7"/>
          <w:color w:val="auto"/>
        </w:rPr>
        <w:fldChar w:fldCharType="end"/>
      </w:r>
    </w:p>
    <w:p w14:paraId="10AE67CF">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"_Toc112435680"</w:instrText>
      </w:r>
      <w:r>
        <w:rPr>
          <w:rStyle w:val="17"/>
          <w:color w:val="auto"/>
        </w:rPr>
        <w:instrText xml:space="preserve"> </w:instrText>
      </w:r>
      <w:r>
        <w:rPr>
          <w:rStyle w:val="17"/>
          <w:color w:val="auto"/>
        </w:rPr>
        <w:fldChar w:fldCharType="separate"/>
      </w:r>
      <w:r>
        <w:rPr>
          <w:rStyle w:val="17"/>
          <w:rFonts w:ascii="宋体" w:hAnsi="宋体"/>
          <w:color w:val="auto"/>
        </w:rPr>
        <w:t>第四章  合同书</w:t>
      </w:r>
      <w:r>
        <w:tab/>
      </w:r>
      <w:r>
        <w:rPr>
          <w:rFonts w:hint="eastAsia"/>
          <w:lang w:val="en-US" w:eastAsia="zh-CN"/>
        </w:rPr>
        <w:t>1</w:t>
      </w:r>
      <w:r>
        <w:rPr>
          <w:rStyle w:val="17"/>
          <w:color w:val="auto"/>
        </w:rPr>
        <w:fldChar w:fldCharType="end"/>
      </w:r>
      <w:r>
        <w:rPr>
          <w:rStyle w:val="17"/>
          <w:rFonts w:hint="eastAsia"/>
          <w:color w:val="auto"/>
          <w:lang w:val="en-US" w:eastAsia="zh-CN"/>
        </w:rPr>
        <w:t>5</w:t>
      </w:r>
    </w:p>
    <w:p w14:paraId="377DAC02">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"_Toc112435681"</w:instrText>
      </w:r>
      <w:r>
        <w:rPr>
          <w:rStyle w:val="17"/>
          <w:color w:val="auto"/>
        </w:rPr>
        <w:instrText xml:space="preserve"> </w:instrText>
      </w:r>
      <w:r>
        <w:rPr>
          <w:rStyle w:val="17"/>
          <w:color w:val="auto"/>
        </w:rPr>
        <w:fldChar w:fldCharType="separate"/>
      </w:r>
      <w:r>
        <w:rPr>
          <w:rStyle w:val="17"/>
          <w:rFonts w:ascii="宋体" w:hAnsi="宋体"/>
          <w:color w:val="auto"/>
        </w:rPr>
        <w:t>第五章  响应文件格式</w:t>
      </w:r>
      <w:r>
        <w:tab/>
      </w:r>
      <w:r>
        <w:rPr>
          <w:rFonts w:hint="eastAsia"/>
          <w:lang w:val="en-US" w:eastAsia="zh-CN"/>
        </w:rPr>
        <w:t>1</w:t>
      </w:r>
      <w:r>
        <w:rPr>
          <w:rStyle w:val="17"/>
          <w:color w:val="auto"/>
        </w:rPr>
        <w:fldChar w:fldCharType="end"/>
      </w:r>
      <w:r>
        <w:rPr>
          <w:rStyle w:val="17"/>
          <w:rFonts w:hint="eastAsia"/>
          <w:color w:val="auto"/>
          <w:lang w:val="en-US" w:eastAsia="zh-CN"/>
        </w:rPr>
        <w:t>6</w:t>
      </w:r>
    </w:p>
    <w:p w14:paraId="03EAA6B4">
      <w:pPr>
        <w:pStyle w:val="10"/>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10"/>
        <w:rPr>
          <w:lang w:val="en-US" w:eastAsia="zh-CN"/>
        </w:rPr>
      </w:pPr>
    </w:p>
    <w:p w14:paraId="2C393421">
      <w:pPr>
        <w:pStyle w:val="3"/>
        <w:spacing w:line="240" w:lineRule="auto"/>
        <w:jc w:val="center"/>
        <w:rPr>
          <w:rFonts w:ascii="宋体" w:hAnsi="宋体"/>
        </w:rPr>
      </w:pPr>
      <w:bookmarkStart w:id="0" w:name="_Toc14868001"/>
      <w:bookmarkStart w:id="1" w:name="_Toc112435656"/>
      <w:bookmarkStart w:id="2" w:name="OLE_LINK1"/>
      <w:bookmarkStart w:id="3" w:name="_Toc480893138"/>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5-0504</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大冶市人民医院合理用药系统维保服务单一来源采购项目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4.8</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4.8</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合理用药系统维保</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10"/>
        <w:jc w:val="both"/>
        <w:rPr>
          <w:lang w:val="en-US" w:eastAsia="zh-CN"/>
        </w:rPr>
      </w:pPr>
    </w:p>
    <w:p w14:paraId="6184775B">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3"/>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sz w:val="24"/>
                <w:u w:val="none"/>
                <w:lang w:val="en-US" w:eastAsia="zh-CN"/>
              </w:rPr>
              <w:t>大冶市人民医院合理用药系统维保单一来源采购项目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2"/>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8065594"/>
      <w:bookmarkStart w:id="12" w:name="_Toc339378680"/>
    </w:p>
    <w:bookmarkEnd w:id="11"/>
    <w:bookmarkEnd w:id="12"/>
    <w:tbl>
      <w:tblPr>
        <w:tblStyle w:val="13"/>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hint="default" w:ascii="Arial" w:hAnsi="Arial" w:cs="Arial"/>
                <w:sz w:val="24"/>
                <w:lang w:val="en-US"/>
              </w:rPr>
            </w:pPr>
            <w:r>
              <w:rPr>
                <w:rFonts w:hint="eastAsia" w:ascii="微软雅黑" w:hAnsi="微软雅黑" w:eastAsia="微软雅黑" w:cs="微软雅黑"/>
                <w:i w:val="0"/>
                <w:iCs w:val="0"/>
                <w:caps w:val="0"/>
                <w:color w:val="333333"/>
                <w:spacing w:val="0"/>
                <w:sz w:val="21"/>
                <w:szCs w:val="21"/>
                <w:shd w:val="clear" w:fill="FFFFFF"/>
                <w:lang w:val="en-US" w:eastAsia="zh-CN"/>
              </w:rPr>
              <w:t>合理用药系统维保服务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48000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48000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b/>
          <w:sz w:val="28"/>
          <w:szCs w:val="28"/>
          <w:lang w:val="zh-CN"/>
        </w:rPr>
      </w:pPr>
    </w:p>
    <w:p w14:paraId="7CEBFD01">
      <w:pPr>
        <w:keepNext/>
        <w:keepLines/>
        <w:numPr>
          <w:ilvl w:val="255"/>
          <w:numId w:val="0"/>
        </w:numPr>
        <w:spacing w:line="360" w:lineRule="auto"/>
        <w:outlineLvl w:val="1"/>
        <w:rPr>
          <w:b/>
          <w:sz w:val="28"/>
          <w:szCs w:val="28"/>
          <w:lang w:val="zh-CN"/>
        </w:rPr>
      </w:pPr>
      <w:r>
        <w:rPr>
          <w:rFonts w:hint="eastAsia"/>
          <w:b/>
          <w:sz w:val="28"/>
          <w:szCs w:val="28"/>
          <w:lang w:val="zh-CN"/>
        </w:rPr>
        <w:t xml:space="preserve">二、项目建设内容  </w:t>
      </w:r>
    </w:p>
    <w:p w14:paraId="2BD6CCC8">
      <w:pPr>
        <w:pStyle w:val="18"/>
        <w:ind w:firstLine="560" w:firstLineChars="200"/>
        <w:rPr>
          <w:rFonts w:hint="default" w:ascii="宋体" w:hAnsi="宋体" w:eastAsia="宋体" w:cs="宋体"/>
          <w:color w:val="auto"/>
          <w:kern w:val="0"/>
          <w:sz w:val="28"/>
          <w:szCs w:val="28"/>
          <w:lang w:val="en-US" w:eastAsia="zh-CN" w:bidi="ar-SA"/>
        </w:rPr>
      </w:pPr>
      <w:bookmarkStart w:id="13" w:name="_bookmark43"/>
      <w:bookmarkEnd w:id="13"/>
      <w:r>
        <w:rPr>
          <w:rFonts w:hint="eastAsia" w:ascii="宋体" w:hAnsi="宋体" w:eastAsia="宋体" w:cs="宋体"/>
          <w:color w:val="auto"/>
          <w:kern w:val="0"/>
          <w:sz w:val="28"/>
          <w:szCs w:val="28"/>
          <w:lang w:val="en-US" w:eastAsia="zh-CN" w:bidi="ar-SA"/>
        </w:rPr>
        <w:t>自合同签订之日起为按照技术、服务要求，为医院提供为期一年的合理用药系统维保服务</w:t>
      </w:r>
    </w:p>
    <w:p w14:paraId="45B2F5C0">
      <w:pPr>
        <w:numPr>
          <w:ilvl w:val="0"/>
          <w:numId w:val="3"/>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p w14:paraId="30C75664">
      <w:pPr>
        <w:spacing w:line="360" w:lineRule="auto"/>
        <w:ind w:right="118" w:rightChars="56"/>
        <w:rPr>
          <w:rFonts w:hint="eastAsia" w:ascii="宋体" w:hAnsi="宋体" w:eastAsia="宋体" w:cs="宋体"/>
          <w:color w:val="auto"/>
          <w:kern w:val="0"/>
          <w:sz w:val="28"/>
          <w:szCs w:val="28"/>
          <w:lang w:val="en-US" w:eastAsia="zh-CN" w:bidi="ar-SA"/>
        </w:rPr>
      </w:pPr>
      <w:bookmarkStart w:id="14" w:name="_Toc516494673"/>
      <w:bookmarkStart w:id="15" w:name="_Toc511889434"/>
      <w:bookmarkStart w:id="16" w:name="_Toc511894512"/>
      <w:bookmarkStart w:id="17" w:name="_Toc494561956"/>
      <w:r>
        <w:rPr>
          <w:rFonts w:hint="eastAsia" w:ascii="宋体" w:hAnsi="宋体" w:eastAsia="宋体" w:cs="宋体"/>
          <w:color w:val="auto"/>
          <w:kern w:val="0"/>
          <w:sz w:val="28"/>
          <w:szCs w:val="28"/>
          <w:lang w:val="en-US" w:eastAsia="zh-CN" w:bidi="ar-SA"/>
        </w:rPr>
        <w:t>维保期内，为医院提供以下服务内容以保证系统能够正常运行使用：</w:t>
      </w:r>
    </w:p>
    <w:p w14:paraId="6A49FEA9">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1.</w:t>
      </w:r>
      <w:r>
        <w:rPr>
          <w:rFonts w:hint="eastAsia" w:ascii="宋体" w:hAnsi="宋体" w:eastAsia="宋体" w:cs="宋体"/>
          <w:color w:val="auto"/>
          <w:kern w:val="0"/>
          <w:sz w:val="28"/>
          <w:szCs w:val="28"/>
          <w:lang w:val="en-US" w:eastAsia="zh-CN" w:bidi="ar-SA"/>
        </w:rPr>
        <w:t>提供客服热线及网络（邮件、QQ）等渠道受理用户问题反馈</w:t>
      </w:r>
    </w:p>
    <w:p w14:paraId="33BB8C69">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提供7*24小时响应服务，系统出现故障应在24小时内由专业技术人员通过电话或网络等远程方式受理用户反馈的问题，根据故障现象，分析问题原因，做出初步判断后与用户协商确认问题解决时间</w:t>
      </w:r>
    </w:p>
    <w:p w14:paraId="3D066B04">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bookmarkStart w:id="18" w:name="_Hlk103258394"/>
      <w:r>
        <w:rPr>
          <w:rFonts w:hint="eastAsia" w:ascii="宋体"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对系统使用科室提出的关于系统使用、操作流程等问题进行解释和答复</w:t>
      </w:r>
    </w:p>
    <w:p w14:paraId="3A444E3F">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4.</w:t>
      </w:r>
      <w:r>
        <w:rPr>
          <w:rFonts w:hint="eastAsia" w:ascii="宋体" w:hAnsi="宋体" w:eastAsia="宋体" w:cs="宋体"/>
          <w:color w:val="auto"/>
          <w:kern w:val="0"/>
          <w:sz w:val="28"/>
          <w:szCs w:val="28"/>
          <w:lang w:val="en-US" w:eastAsia="zh-CN" w:bidi="ar-SA"/>
        </w:rPr>
        <w:t>保证使用科室的数据安全和数据真实性，让其更好的开展合理用药管理工作</w:t>
      </w:r>
    </w:p>
    <w:p w14:paraId="697A9FE6">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5.</w:t>
      </w:r>
      <w:r>
        <w:rPr>
          <w:rFonts w:hint="eastAsia" w:ascii="宋体" w:hAnsi="宋体" w:eastAsia="宋体" w:cs="宋体"/>
          <w:color w:val="auto"/>
          <w:kern w:val="0"/>
          <w:sz w:val="28"/>
          <w:szCs w:val="28"/>
          <w:lang w:val="en-US" w:eastAsia="zh-CN" w:bidi="ar-SA"/>
        </w:rPr>
        <w:t>对系统涉及的第三方软件开发商做好相应的程序排错等配合工作</w:t>
      </w:r>
    </w:p>
    <w:bookmarkEnd w:id="18"/>
    <w:p w14:paraId="205532AB">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6.</w:t>
      </w:r>
      <w:r>
        <w:rPr>
          <w:rFonts w:hint="eastAsia" w:ascii="宋体" w:hAnsi="宋体" w:eastAsia="宋体" w:cs="宋体"/>
          <w:color w:val="auto"/>
          <w:kern w:val="0"/>
          <w:sz w:val="28"/>
          <w:szCs w:val="28"/>
          <w:lang w:val="en-US" w:eastAsia="zh-CN" w:bidi="ar-SA"/>
        </w:rPr>
        <w:t>提供定期的售后电话回访服务</w:t>
      </w:r>
    </w:p>
    <w:p w14:paraId="7F85841D">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7.</w:t>
      </w:r>
      <w:r>
        <w:rPr>
          <w:rFonts w:hint="eastAsia" w:ascii="宋体" w:hAnsi="宋体" w:eastAsia="宋体" w:cs="宋体"/>
          <w:color w:val="auto"/>
          <w:kern w:val="0"/>
          <w:sz w:val="28"/>
          <w:szCs w:val="28"/>
          <w:lang w:val="en-US" w:eastAsia="zh-CN" w:bidi="ar-SA"/>
        </w:rPr>
        <w:t>建立用户档案，跟踪客户使用情况</w:t>
      </w:r>
    </w:p>
    <w:p w14:paraId="402A3D01">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8.</w:t>
      </w:r>
      <w:r>
        <w:rPr>
          <w:rFonts w:hint="eastAsia" w:ascii="宋体" w:hAnsi="宋体" w:eastAsia="宋体" w:cs="宋体"/>
          <w:color w:val="auto"/>
          <w:kern w:val="0"/>
          <w:sz w:val="28"/>
          <w:szCs w:val="28"/>
          <w:lang w:val="en-US" w:eastAsia="zh-CN" w:bidi="ar-SA"/>
        </w:rPr>
        <w:t xml:space="preserve">为医院在用的合理用药系统提供2次/年的数据维护服务 </w:t>
      </w:r>
    </w:p>
    <w:p w14:paraId="2F731B91">
      <w:pPr>
        <w:pStyle w:val="21"/>
        <w:numPr>
          <w:ilvl w:val="0"/>
          <w:numId w:val="0"/>
        </w:numPr>
        <w:spacing w:line="360" w:lineRule="auto"/>
        <w:ind w:leftChars="0" w:right="118" w:rightChars="56"/>
        <w:rPr>
          <w:rFonts w:asciiTheme="minorEastAsia" w:hAnsiTheme="minorEastAsia"/>
          <w:szCs w:val="21"/>
        </w:rPr>
      </w:pPr>
      <w:r>
        <w:rPr>
          <w:rFonts w:hint="eastAsia" w:ascii="宋体" w:hAnsi="宋体" w:cs="宋体"/>
          <w:color w:val="auto"/>
          <w:kern w:val="0"/>
          <w:sz w:val="28"/>
          <w:szCs w:val="28"/>
          <w:lang w:val="en-US" w:eastAsia="zh-CN" w:bidi="ar-SA"/>
        </w:rPr>
        <w:t>9.</w:t>
      </w:r>
      <w:r>
        <w:rPr>
          <w:rFonts w:hint="eastAsia" w:ascii="宋体" w:hAnsi="宋体" w:eastAsia="宋体" w:cs="宋体"/>
          <w:color w:val="auto"/>
          <w:kern w:val="0"/>
          <w:sz w:val="28"/>
          <w:szCs w:val="28"/>
          <w:lang w:val="en-US" w:eastAsia="zh-CN" w:bidi="ar-SA"/>
        </w:rPr>
        <w:t>为医院在用的合理用药信息支持系统网络版提供1年软件使用许可及10次/年数据维护服务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287"/>
      </w:tblGrid>
      <w:tr w14:paraId="24F5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C62B2A">
            <w:pPr>
              <w:spacing w:line="360" w:lineRule="auto"/>
              <w:rPr>
                <w:rFonts w:ascii="宋体" w:hAnsi="宋体" w:eastAsia="宋体"/>
                <w:szCs w:val="21"/>
              </w:rPr>
            </w:pPr>
            <w:r>
              <w:rPr>
                <w:rFonts w:ascii="宋体" w:hAnsi="宋体" w:eastAsia="宋体"/>
                <w:szCs w:val="21"/>
              </w:rPr>
              <w:t>序号</w:t>
            </w:r>
          </w:p>
        </w:tc>
        <w:tc>
          <w:tcPr>
            <w:tcW w:w="1276" w:type="dxa"/>
            <w:vAlign w:val="center"/>
          </w:tcPr>
          <w:p w14:paraId="6872CFF9">
            <w:pPr>
              <w:spacing w:line="360" w:lineRule="auto"/>
              <w:rPr>
                <w:rFonts w:ascii="宋体" w:hAnsi="宋体" w:eastAsia="宋体"/>
                <w:szCs w:val="21"/>
              </w:rPr>
            </w:pPr>
            <w:r>
              <w:rPr>
                <w:rFonts w:ascii="宋体" w:hAnsi="宋体" w:eastAsia="宋体"/>
                <w:szCs w:val="21"/>
              </w:rPr>
              <w:t>子项</w:t>
            </w:r>
          </w:p>
        </w:tc>
        <w:tc>
          <w:tcPr>
            <w:tcW w:w="6287" w:type="dxa"/>
            <w:vAlign w:val="center"/>
          </w:tcPr>
          <w:p w14:paraId="17A16039">
            <w:pPr>
              <w:spacing w:line="360" w:lineRule="auto"/>
              <w:rPr>
                <w:rFonts w:ascii="宋体" w:hAnsi="宋体" w:eastAsia="宋体"/>
                <w:szCs w:val="21"/>
              </w:rPr>
            </w:pPr>
            <w:r>
              <w:rPr>
                <w:rFonts w:ascii="宋体" w:hAnsi="宋体" w:eastAsia="宋体"/>
                <w:szCs w:val="21"/>
              </w:rPr>
              <w:t>详细要求</w:t>
            </w:r>
          </w:p>
        </w:tc>
      </w:tr>
      <w:tr w14:paraId="537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9D60B48">
            <w:pPr>
              <w:spacing w:line="360" w:lineRule="auto"/>
              <w:rPr>
                <w:rFonts w:ascii="宋体" w:hAnsi="宋体" w:eastAsia="宋体" w:cs="Arial"/>
                <w:b/>
                <w:bCs/>
                <w:szCs w:val="21"/>
              </w:rPr>
            </w:pPr>
            <w:r>
              <w:rPr>
                <w:rFonts w:hint="eastAsia" w:ascii="宋体" w:hAnsi="宋体" w:eastAsia="宋体" w:cs="Arial"/>
                <w:b/>
                <w:bCs/>
                <w:szCs w:val="21"/>
              </w:rPr>
              <w:t>系统审查功能要求</w:t>
            </w:r>
          </w:p>
        </w:tc>
      </w:tr>
      <w:tr w14:paraId="268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9BDD23">
            <w:pPr>
              <w:pStyle w:val="21"/>
              <w:numPr>
                <w:ilvl w:val="0"/>
                <w:numId w:val="4"/>
              </w:numPr>
              <w:spacing w:line="360" w:lineRule="auto"/>
              <w:ind w:firstLineChars="0"/>
              <w:rPr>
                <w:rFonts w:ascii="宋体" w:hAnsi="宋体" w:eastAsia="宋体"/>
                <w:szCs w:val="21"/>
              </w:rPr>
            </w:pPr>
          </w:p>
        </w:tc>
        <w:tc>
          <w:tcPr>
            <w:tcW w:w="1276" w:type="dxa"/>
            <w:vAlign w:val="center"/>
          </w:tcPr>
          <w:p w14:paraId="7B7F55B6">
            <w:pPr>
              <w:spacing w:line="360" w:lineRule="auto"/>
              <w:rPr>
                <w:rFonts w:ascii="宋体" w:hAnsi="宋体" w:eastAsia="宋体"/>
                <w:szCs w:val="21"/>
              </w:rPr>
            </w:pPr>
            <w:r>
              <w:rPr>
                <w:rFonts w:hint="eastAsia" w:ascii="宋体" w:hAnsi="宋体" w:eastAsia="宋体"/>
                <w:szCs w:val="21"/>
              </w:rPr>
              <w:t>处方（医嘱）用药审查功能</w:t>
            </w:r>
          </w:p>
        </w:tc>
        <w:tc>
          <w:tcPr>
            <w:tcW w:w="6287" w:type="dxa"/>
            <w:vAlign w:val="center"/>
          </w:tcPr>
          <w:p w14:paraId="5F082AB1">
            <w:pPr>
              <w:widowControl/>
              <w:spacing w:line="360" w:lineRule="auto"/>
              <w:rPr>
                <w:rFonts w:cs="Arial" w:asciiTheme="minorEastAsia" w:hAnsiTheme="minorEastAsia"/>
                <w:szCs w:val="21"/>
              </w:rPr>
            </w:pPr>
            <w:r>
              <w:rPr>
                <w:rFonts w:hint="eastAsia" w:cs="Arial" w:asciiTheme="minorEastAsia" w:hAnsiTheme="minorEastAsia"/>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650E2953">
            <w:pPr>
              <w:pStyle w:val="21"/>
              <w:widowControl/>
              <w:numPr>
                <w:ilvl w:val="1"/>
                <w:numId w:val="5"/>
              </w:numPr>
              <w:spacing w:line="360" w:lineRule="auto"/>
              <w:ind w:firstLine="0" w:firstLineChars="0"/>
              <w:rPr>
                <w:rFonts w:cs="Arial" w:asciiTheme="minorEastAsia" w:hAnsiTheme="minorEastAsia"/>
                <w:szCs w:val="21"/>
              </w:rPr>
            </w:pPr>
            <w:r>
              <w:rPr>
                <w:rFonts w:hint="eastAsia" w:cs="Arial" w:asciiTheme="minorEastAsia" w:hAnsiTheme="minorEastAsia"/>
                <w:szCs w:val="21"/>
              </w:rPr>
              <w:t>住院医嘱支持用药天数预警，提醒医生及时调整用药方案。</w:t>
            </w:r>
          </w:p>
          <w:p w14:paraId="6B54423F">
            <w:pPr>
              <w:pStyle w:val="21"/>
              <w:widowControl/>
              <w:numPr>
                <w:ilvl w:val="1"/>
                <w:numId w:val="5"/>
              </w:numPr>
              <w:spacing w:line="360" w:lineRule="auto"/>
              <w:ind w:firstLine="0" w:firstLineChars="0"/>
              <w:rPr>
                <w:rFonts w:cs="Arial" w:asciiTheme="minorEastAsia" w:hAnsiTheme="minorEastAsia"/>
                <w:szCs w:val="21"/>
              </w:rPr>
            </w:pPr>
            <w:r>
              <w:rPr>
                <w:rFonts w:hint="eastAsia" w:cs="Arial" w:asciiTheme="minorEastAsia" w:hAnsiTheme="minorEastAsia"/>
                <w:szCs w:val="21"/>
              </w:rPr>
              <w:t>超多日用量审查可结合退费情况，管控提前取药患者药量累计持有天数。</w:t>
            </w:r>
          </w:p>
          <w:p w14:paraId="1A7E56B6">
            <w:pPr>
              <w:pStyle w:val="21"/>
              <w:widowControl/>
              <w:numPr>
                <w:ilvl w:val="1"/>
                <w:numId w:val="5"/>
              </w:numPr>
              <w:spacing w:line="360" w:lineRule="auto"/>
              <w:ind w:firstLine="0" w:firstLineChars="0"/>
              <w:rPr>
                <w:rFonts w:cs="Arial" w:asciiTheme="minorEastAsia" w:hAnsiTheme="minorEastAsia"/>
                <w:szCs w:val="21"/>
              </w:rPr>
            </w:pPr>
            <w:r>
              <w:rPr>
                <w:rFonts w:hint="eastAsia" w:cs="Arial" w:asciiTheme="minorEastAsia" w:hAnsiTheme="minorEastAsia"/>
                <w:szCs w:val="21"/>
              </w:rPr>
              <w:t>利用大数据分析，自动生成药品品种单次异常剂量审查规则。</w:t>
            </w:r>
          </w:p>
          <w:p w14:paraId="7BD14647">
            <w:pPr>
              <w:pStyle w:val="21"/>
              <w:widowControl/>
              <w:numPr>
                <w:ilvl w:val="1"/>
                <w:numId w:val="5"/>
              </w:numPr>
              <w:spacing w:line="360" w:lineRule="auto"/>
              <w:ind w:firstLine="0" w:firstLineChars="0"/>
              <w:rPr>
                <w:rFonts w:cs="Arial" w:asciiTheme="minorEastAsia" w:hAnsiTheme="minorEastAsia"/>
                <w:szCs w:val="21"/>
              </w:rPr>
            </w:pPr>
            <w:r>
              <w:rPr>
                <w:rFonts w:hint="eastAsia" w:cs="Arial" w:asciiTheme="minorEastAsia" w:hAnsiTheme="minorEastAsia"/>
                <w:szCs w:val="21"/>
              </w:rPr>
              <w:t>相互作用联合审查可排除已服用完毕的药品。</w:t>
            </w:r>
          </w:p>
        </w:tc>
      </w:tr>
      <w:tr w14:paraId="7913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3757DF0">
            <w:pPr>
              <w:pStyle w:val="21"/>
              <w:numPr>
                <w:ilvl w:val="0"/>
                <w:numId w:val="4"/>
              </w:numPr>
              <w:spacing w:line="360" w:lineRule="auto"/>
              <w:ind w:firstLineChars="0"/>
              <w:rPr>
                <w:rFonts w:ascii="宋体" w:hAnsi="宋体" w:eastAsia="宋体"/>
                <w:szCs w:val="21"/>
              </w:rPr>
            </w:pPr>
          </w:p>
        </w:tc>
        <w:tc>
          <w:tcPr>
            <w:tcW w:w="1276" w:type="dxa"/>
            <w:vAlign w:val="center"/>
          </w:tcPr>
          <w:p w14:paraId="2D6D390E">
            <w:pPr>
              <w:spacing w:line="360" w:lineRule="auto"/>
              <w:rPr>
                <w:rFonts w:ascii="宋体" w:hAnsi="宋体" w:eastAsia="宋体"/>
                <w:szCs w:val="21"/>
              </w:rPr>
            </w:pPr>
            <w:r>
              <w:rPr>
                <w:rFonts w:hint="eastAsia" w:ascii="宋体" w:hAnsi="宋体" w:eastAsia="宋体" w:cs="Arial"/>
                <w:szCs w:val="21"/>
              </w:rPr>
              <w:t>药品信息提示功能</w:t>
            </w:r>
          </w:p>
        </w:tc>
        <w:tc>
          <w:tcPr>
            <w:tcW w:w="6287" w:type="dxa"/>
            <w:vAlign w:val="center"/>
          </w:tcPr>
          <w:p w14:paraId="523291E5">
            <w:pPr>
              <w:pStyle w:val="5"/>
              <w:keepNext w:val="0"/>
              <w:keepLines w:val="0"/>
              <w:jc w:val="both"/>
              <w:rPr>
                <w:rFonts w:ascii="宋体" w:hAnsi="宋体" w:cs="Arial"/>
                <w:b w:val="0"/>
                <w:bCs w:val="0"/>
                <w:sz w:val="21"/>
                <w:szCs w:val="21"/>
              </w:rPr>
            </w:pPr>
            <w:r>
              <w:rPr>
                <w:rFonts w:hint="eastAsia" w:ascii="宋体" w:hAnsi="宋体" w:cs="Arial"/>
                <w:b w:val="0"/>
                <w:bCs w:val="0"/>
                <w:sz w:val="21"/>
                <w:szCs w:val="21"/>
              </w:rPr>
              <w:t>可快捷查看药品相关重要信息；药品厂家说明书，并可查看药监局发布的说明书修订勘误，修改和新增药品说明书内容；▲查询相应药品的中药材专论信息。</w:t>
            </w:r>
          </w:p>
        </w:tc>
      </w:tr>
      <w:tr w14:paraId="780A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89C31B">
            <w:pPr>
              <w:pStyle w:val="21"/>
              <w:numPr>
                <w:ilvl w:val="0"/>
                <w:numId w:val="4"/>
              </w:numPr>
              <w:spacing w:line="360" w:lineRule="auto"/>
              <w:ind w:firstLineChars="0"/>
              <w:rPr>
                <w:rFonts w:ascii="宋体" w:hAnsi="宋体" w:eastAsia="宋体"/>
                <w:szCs w:val="21"/>
              </w:rPr>
            </w:pPr>
          </w:p>
        </w:tc>
        <w:tc>
          <w:tcPr>
            <w:tcW w:w="1276" w:type="dxa"/>
            <w:vAlign w:val="center"/>
          </w:tcPr>
          <w:p w14:paraId="3F0E8FB1">
            <w:pPr>
              <w:spacing w:line="360" w:lineRule="auto"/>
              <w:rPr>
                <w:rFonts w:ascii="宋体" w:hAnsi="宋体" w:eastAsia="宋体"/>
                <w:szCs w:val="21"/>
              </w:rPr>
            </w:pPr>
            <w:r>
              <w:rPr>
                <w:rFonts w:hint="eastAsia" w:ascii="宋体" w:hAnsi="宋体" w:eastAsia="宋体" w:cs="Arial"/>
                <w:szCs w:val="21"/>
              </w:rPr>
              <w:t>质子泵抑制药专项管控</w:t>
            </w:r>
          </w:p>
        </w:tc>
        <w:tc>
          <w:tcPr>
            <w:tcW w:w="6287" w:type="dxa"/>
            <w:vAlign w:val="center"/>
          </w:tcPr>
          <w:p w14:paraId="2CAB4B93">
            <w:pPr>
              <w:pStyle w:val="5"/>
              <w:numPr>
                <w:ilvl w:val="0"/>
                <w:numId w:val="6"/>
              </w:numPr>
              <w:ind w:left="0" w:firstLine="0"/>
              <w:jc w:val="both"/>
              <w:rPr>
                <w:rFonts w:ascii="宋体" w:hAnsi="宋体" w:cs="Arial"/>
                <w:b w:val="0"/>
                <w:sz w:val="21"/>
                <w:szCs w:val="21"/>
              </w:rPr>
            </w:pPr>
            <w:r>
              <w:rPr>
                <w:rFonts w:hint="eastAsia" w:ascii="宋体" w:hAnsi="宋体" w:cs="Arial"/>
                <w:b w:val="0"/>
                <w:bCs w:val="0"/>
                <w:sz w:val="21"/>
                <w:szCs w:val="21"/>
              </w:rPr>
              <w:t>▲</w:t>
            </w:r>
            <w:r>
              <w:rPr>
                <w:rFonts w:hint="eastAsia" w:ascii="宋体" w:hAnsi="宋体" w:cs="Arial"/>
                <w:b w:val="0"/>
                <w:sz w:val="21"/>
                <w:szCs w:val="21"/>
              </w:rPr>
              <w:t>医生开具质子泵抑制剂药品时，需填写用药评估单。提供评估单专项统计分析。</w:t>
            </w:r>
          </w:p>
          <w:p w14:paraId="427F0AD0">
            <w:pPr>
              <w:pStyle w:val="5"/>
              <w:numPr>
                <w:ilvl w:val="0"/>
                <w:numId w:val="6"/>
              </w:numPr>
              <w:ind w:left="0" w:firstLine="0"/>
              <w:jc w:val="both"/>
              <w:rPr>
                <w:rFonts w:ascii="宋体" w:hAnsi="宋体" w:cs="Arial"/>
                <w:b w:val="0"/>
                <w:sz w:val="21"/>
                <w:szCs w:val="21"/>
              </w:rPr>
            </w:pPr>
            <w:r>
              <w:rPr>
                <w:rFonts w:hint="eastAsia" w:ascii="宋体" w:hAnsi="宋体" w:cs="Arial"/>
                <w:b w:val="0"/>
                <w:bCs w:val="0"/>
                <w:sz w:val="21"/>
                <w:szCs w:val="21"/>
              </w:rPr>
              <w:t>▲</w:t>
            </w:r>
            <w:r>
              <w:rPr>
                <w:rFonts w:hint="eastAsia" w:ascii="宋体" w:hAnsi="宋体" w:cs="Arial"/>
                <w:b w:val="0"/>
                <w:sz w:val="21"/>
                <w:szCs w:val="21"/>
              </w:rPr>
              <w:t>系统可评估患者病生状态，若存在应激性溃疡风险，提供质子泵抑制剂用药建议。</w:t>
            </w:r>
          </w:p>
          <w:p w14:paraId="1ECEA12F">
            <w:pPr>
              <w:pStyle w:val="5"/>
              <w:numPr>
                <w:ilvl w:val="0"/>
                <w:numId w:val="6"/>
              </w:numPr>
              <w:ind w:left="0" w:firstLine="0"/>
              <w:jc w:val="both"/>
            </w:pPr>
            <w:r>
              <w:rPr>
                <w:rFonts w:hint="eastAsia" w:ascii="宋体" w:hAnsi="宋体" w:cs="Arial"/>
                <w:b w:val="0"/>
                <w:sz w:val="21"/>
                <w:szCs w:val="21"/>
              </w:rPr>
              <w:t>围术期不合理使用质子泵抑制剂时，系统可警示医生。</w:t>
            </w:r>
          </w:p>
        </w:tc>
      </w:tr>
      <w:tr w14:paraId="7803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FB1B2D2">
            <w:pPr>
              <w:pStyle w:val="21"/>
              <w:numPr>
                <w:ilvl w:val="0"/>
                <w:numId w:val="4"/>
              </w:numPr>
              <w:spacing w:line="360" w:lineRule="auto"/>
              <w:ind w:firstLineChars="0"/>
              <w:rPr>
                <w:rFonts w:ascii="宋体" w:hAnsi="宋体" w:eastAsia="宋体"/>
                <w:szCs w:val="21"/>
              </w:rPr>
            </w:pPr>
          </w:p>
        </w:tc>
        <w:tc>
          <w:tcPr>
            <w:tcW w:w="1276" w:type="dxa"/>
            <w:vAlign w:val="center"/>
          </w:tcPr>
          <w:p w14:paraId="1F25F7EF">
            <w:pPr>
              <w:spacing w:line="360" w:lineRule="auto"/>
              <w:rPr>
                <w:rFonts w:ascii="宋体" w:hAnsi="宋体" w:eastAsia="宋体" w:cs="Arial"/>
                <w:szCs w:val="21"/>
              </w:rPr>
            </w:pPr>
            <w:r>
              <w:rPr>
                <w:rFonts w:hint="eastAsia" w:ascii="宋体" w:hAnsi="宋体" w:eastAsia="宋体" w:cs="Arial"/>
                <w:szCs w:val="21"/>
              </w:rPr>
              <w:t>协定方专项管控</w:t>
            </w:r>
          </w:p>
        </w:tc>
        <w:tc>
          <w:tcPr>
            <w:tcW w:w="6287" w:type="dxa"/>
            <w:vAlign w:val="center"/>
          </w:tcPr>
          <w:p w14:paraId="0EA556E8">
            <w:pPr>
              <w:pStyle w:val="5"/>
              <w:jc w:val="both"/>
              <w:rPr>
                <w:rFonts w:ascii="宋体" w:hAnsi="宋体" w:cs="Arial"/>
                <w:b w:val="0"/>
                <w:bCs w:val="0"/>
                <w:sz w:val="21"/>
                <w:szCs w:val="21"/>
              </w:rPr>
            </w:pPr>
            <w:r>
              <w:rPr>
                <w:rFonts w:hint="eastAsia" w:ascii="宋体" w:hAnsi="宋体" w:cs="Arial"/>
                <w:b w:val="0"/>
                <w:bCs w:val="0"/>
                <w:sz w:val="21"/>
                <w:szCs w:val="21"/>
              </w:rPr>
              <w:t>系统提供医院中药协定方证型适宜性审查。</w:t>
            </w:r>
          </w:p>
        </w:tc>
      </w:tr>
      <w:tr w14:paraId="6FF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16664E4">
            <w:pPr>
              <w:pStyle w:val="21"/>
              <w:numPr>
                <w:ilvl w:val="0"/>
                <w:numId w:val="4"/>
              </w:numPr>
              <w:spacing w:line="360" w:lineRule="auto"/>
              <w:ind w:firstLineChars="0"/>
              <w:rPr>
                <w:rFonts w:ascii="宋体" w:hAnsi="宋体" w:eastAsia="宋体"/>
                <w:szCs w:val="21"/>
              </w:rPr>
            </w:pPr>
          </w:p>
        </w:tc>
        <w:tc>
          <w:tcPr>
            <w:tcW w:w="1276" w:type="dxa"/>
            <w:vAlign w:val="center"/>
          </w:tcPr>
          <w:p w14:paraId="10394FFB">
            <w:pPr>
              <w:spacing w:line="360" w:lineRule="auto"/>
              <w:rPr>
                <w:rFonts w:ascii="宋体" w:hAnsi="宋体" w:eastAsia="宋体"/>
                <w:szCs w:val="21"/>
              </w:rPr>
            </w:pPr>
            <w:r>
              <w:rPr>
                <w:rFonts w:hint="eastAsia" w:ascii="宋体" w:hAnsi="宋体" w:eastAsia="宋体"/>
                <w:szCs w:val="21"/>
              </w:rPr>
              <w:t>经验性用药专项管控</w:t>
            </w:r>
          </w:p>
        </w:tc>
        <w:tc>
          <w:tcPr>
            <w:tcW w:w="6287" w:type="dxa"/>
            <w:vAlign w:val="center"/>
          </w:tcPr>
          <w:p w14:paraId="01BDF8CD">
            <w:pPr>
              <w:pStyle w:val="5"/>
              <w:jc w:val="both"/>
              <w:rPr>
                <w:rFonts w:ascii="宋体" w:hAnsi="宋体" w:cs="Arial"/>
                <w:b w:val="0"/>
                <w:sz w:val="21"/>
                <w:szCs w:val="21"/>
              </w:rPr>
            </w:pPr>
            <w:r>
              <w:rPr>
                <w:rFonts w:hint="eastAsia" w:ascii="宋体" w:hAnsi="宋体" w:cs="Arial"/>
                <w:b w:val="0"/>
                <w:sz w:val="21"/>
                <w:szCs w:val="21"/>
              </w:rPr>
              <w:t>系统提供抗肿瘤药物过敏反应预处理用药合理性审查。</w:t>
            </w:r>
          </w:p>
        </w:tc>
      </w:tr>
      <w:tr w14:paraId="0E3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EEE376D">
            <w:pPr>
              <w:pStyle w:val="21"/>
              <w:numPr>
                <w:ilvl w:val="0"/>
                <w:numId w:val="4"/>
              </w:numPr>
              <w:spacing w:line="360" w:lineRule="auto"/>
              <w:ind w:firstLineChars="0"/>
              <w:rPr>
                <w:rFonts w:ascii="宋体" w:hAnsi="宋体" w:eastAsia="宋体"/>
                <w:szCs w:val="21"/>
              </w:rPr>
            </w:pPr>
          </w:p>
        </w:tc>
        <w:tc>
          <w:tcPr>
            <w:tcW w:w="1276" w:type="dxa"/>
            <w:vAlign w:val="center"/>
          </w:tcPr>
          <w:p w14:paraId="63D0FF93">
            <w:pPr>
              <w:spacing w:line="360" w:lineRule="auto"/>
              <w:rPr>
                <w:rFonts w:ascii="宋体" w:hAnsi="宋体" w:eastAsia="宋体"/>
                <w:szCs w:val="21"/>
              </w:rPr>
            </w:pPr>
            <w:r>
              <w:rPr>
                <w:rFonts w:hint="eastAsia" w:ascii="宋体" w:hAnsi="宋体" w:eastAsia="宋体"/>
                <w:szCs w:val="21"/>
              </w:rPr>
              <w:t>抗菌药物专项管控</w:t>
            </w:r>
          </w:p>
        </w:tc>
        <w:tc>
          <w:tcPr>
            <w:tcW w:w="6287" w:type="dxa"/>
            <w:vAlign w:val="center"/>
          </w:tcPr>
          <w:p w14:paraId="63E9A655">
            <w:pPr>
              <w:pStyle w:val="21"/>
              <w:numPr>
                <w:ilvl w:val="0"/>
                <w:numId w:val="7"/>
              </w:numPr>
              <w:spacing w:line="360" w:lineRule="auto"/>
              <w:ind w:left="0" w:firstLine="0" w:firstLineChars="0"/>
            </w:pPr>
            <w:r>
              <w:rPr>
                <w:rFonts w:hint="eastAsia"/>
              </w:rPr>
              <w:t>医生开具预防用抗菌药物时，需填写用药评估单，评估单区分非手术预防用药和手术预防用药。</w:t>
            </w:r>
          </w:p>
          <w:p w14:paraId="159EF55B">
            <w:pPr>
              <w:pStyle w:val="21"/>
              <w:numPr>
                <w:ilvl w:val="0"/>
                <w:numId w:val="7"/>
              </w:numPr>
              <w:spacing w:line="360" w:lineRule="auto"/>
              <w:ind w:left="0" w:firstLine="0" w:firstLineChars="0"/>
              <w:rPr>
                <w:b/>
              </w:rPr>
            </w:pPr>
            <w:r>
              <w:rPr>
                <w:rFonts w:hint="eastAsia"/>
              </w:rPr>
              <w:t>系统提供抗菌药物用药指征审查。医生开具抗菌药物必须有用药指征，否则系统将予以警示。</w:t>
            </w:r>
          </w:p>
        </w:tc>
      </w:tr>
      <w:tr w14:paraId="0730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CC9CD11">
            <w:pPr>
              <w:pStyle w:val="21"/>
              <w:numPr>
                <w:ilvl w:val="0"/>
                <w:numId w:val="4"/>
              </w:numPr>
              <w:spacing w:line="360" w:lineRule="auto"/>
              <w:ind w:firstLineChars="0"/>
              <w:rPr>
                <w:rFonts w:ascii="宋体" w:hAnsi="宋体" w:eastAsia="宋体"/>
                <w:szCs w:val="21"/>
              </w:rPr>
            </w:pPr>
          </w:p>
        </w:tc>
        <w:tc>
          <w:tcPr>
            <w:tcW w:w="1276" w:type="dxa"/>
            <w:vAlign w:val="center"/>
          </w:tcPr>
          <w:p w14:paraId="64CD0035">
            <w:pPr>
              <w:spacing w:line="360" w:lineRule="auto"/>
              <w:rPr>
                <w:rFonts w:ascii="宋体" w:hAnsi="宋体" w:eastAsia="宋体"/>
                <w:szCs w:val="21"/>
              </w:rPr>
            </w:pPr>
            <w:r>
              <w:rPr>
                <w:rFonts w:hint="eastAsia" w:ascii="宋体" w:hAnsi="宋体" w:eastAsia="宋体"/>
                <w:szCs w:val="21"/>
              </w:rPr>
              <w:t>审查提示屏蔽功能</w:t>
            </w:r>
          </w:p>
        </w:tc>
        <w:tc>
          <w:tcPr>
            <w:tcW w:w="6287" w:type="dxa"/>
            <w:vAlign w:val="center"/>
          </w:tcPr>
          <w:p w14:paraId="278DD4FC">
            <w:pPr>
              <w:spacing w:line="360" w:lineRule="auto"/>
              <w:rPr>
                <w:rFonts w:ascii="宋体" w:hAnsi="宋体" w:eastAsia="宋体" w:cs="Arial"/>
                <w:bCs/>
                <w:szCs w:val="21"/>
              </w:rPr>
            </w:pPr>
            <w:r>
              <w:rPr>
                <w:rFonts w:hint="eastAsia" w:ascii="宋体" w:hAnsi="宋体" w:eastAsia="宋体" w:cs="Arial"/>
                <w:bCs/>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14:paraId="65BB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505448">
            <w:pPr>
              <w:pStyle w:val="21"/>
              <w:numPr>
                <w:ilvl w:val="0"/>
                <w:numId w:val="4"/>
              </w:numPr>
              <w:spacing w:line="360" w:lineRule="auto"/>
              <w:ind w:firstLineChars="0"/>
              <w:rPr>
                <w:rFonts w:ascii="宋体" w:hAnsi="宋体" w:eastAsia="宋体"/>
                <w:szCs w:val="21"/>
              </w:rPr>
            </w:pPr>
          </w:p>
        </w:tc>
        <w:tc>
          <w:tcPr>
            <w:tcW w:w="1276" w:type="dxa"/>
            <w:vAlign w:val="center"/>
          </w:tcPr>
          <w:p w14:paraId="1ABE4DD6">
            <w:pPr>
              <w:spacing w:line="360" w:lineRule="auto"/>
              <w:rPr>
                <w:rFonts w:ascii="宋体" w:hAnsi="宋体" w:eastAsia="宋体"/>
                <w:szCs w:val="21"/>
              </w:rPr>
            </w:pPr>
            <w:r>
              <w:rPr>
                <w:rFonts w:hint="eastAsia" w:ascii="宋体" w:hAnsi="宋体" w:eastAsia="宋体"/>
                <w:szCs w:val="21"/>
              </w:rPr>
              <w:t>审查规则自定义功能（医院专家知识库）</w:t>
            </w:r>
          </w:p>
        </w:tc>
        <w:tc>
          <w:tcPr>
            <w:tcW w:w="6287" w:type="dxa"/>
            <w:vAlign w:val="center"/>
          </w:tcPr>
          <w:p w14:paraId="11BCD201">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▲系统可以提供多种自定义方式：</w:t>
            </w:r>
          </w:p>
          <w:p w14:paraId="13D119E0">
            <w:pPr>
              <w:spacing w:line="360" w:lineRule="auto"/>
              <w:rPr>
                <w:rFonts w:ascii="宋体" w:hAnsi="宋体" w:eastAsia="宋体" w:cs="Arial"/>
                <w:bCs/>
                <w:szCs w:val="21"/>
              </w:rPr>
            </w:pPr>
            <w:r>
              <w:rPr>
                <w:rFonts w:hint="eastAsia" w:ascii="宋体" w:hAnsi="宋体" w:eastAsia="宋体" w:cs="Arial"/>
                <w:bCs/>
                <w:szCs w:val="21"/>
              </w:rPr>
              <w:t>（1）基于系统审查数据自定义方式，节省药师工作量；</w:t>
            </w:r>
          </w:p>
          <w:p w14:paraId="57DA71FA">
            <w:pPr>
              <w:spacing w:line="360" w:lineRule="auto"/>
              <w:rPr>
                <w:rFonts w:ascii="宋体" w:hAnsi="宋体" w:eastAsia="宋体" w:cs="Arial"/>
                <w:bCs/>
                <w:szCs w:val="21"/>
              </w:rPr>
            </w:pPr>
            <w:r>
              <w:rPr>
                <w:rFonts w:hint="eastAsia" w:ascii="宋体" w:hAnsi="宋体" w:eastAsia="宋体" w:cs="Arial"/>
                <w:bCs/>
                <w:szCs w:val="21"/>
              </w:rPr>
              <w:t>（2）可完全由用户新建审查规则包括审查要素和审查逻辑。</w:t>
            </w:r>
          </w:p>
          <w:p w14:paraId="72536839">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用户可自定义药品警示、拦截规则，被拦截的问题处方必须返回修改，否则不可进行下一步操作。用户可设置已执行的长期医嘱是否拦截。</w:t>
            </w:r>
          </w:p>
          <w:p w14:paraId="04D23BD6">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其中部分审查项目可支持以下功能：</w:t>
            </w:r>
          </w:p>
          <w:p w14:paraId="104E2E3A">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剂量：可显示某个药品在本院近一个月医嘱用量统计，查看不同科室的剂量使用情况。用户只需维护药品一种给药单位的剂量审查规则，系统可自动将规则匹配到该药品其余给药单位。</w:t>
            </w:r>
          </w:p>
          <w:p w14:paraId="2250245D">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778FCD96">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体外注射剂配伍：可设置小剂量胰岛素不参与体外配伍审查，具体剂量标准可由用户自行设置。</w:t>
            </w:r>
          </w:p>
          <w:p w14:paraId="62CEF079">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妊娠用药：提供多元化妊娠状态判断方式，可设置妊娠状态判断优先级。</w:t>
            </w:r>
          </w:p>
          <w:p w14:paraId="37EC2AE6">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▲可设置应激性溃疡风险的预警规则；设置可预防使用质子泵抑制剂的手术、质子泵抑制剂药品及术后质子泵抑制剂用药疗程；</w:t>
            </w:r>
          </w:p>
          <w:p w14:paraId="7A368454">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用户可维护医院协定方及对应证型；</w:t>
            </w:r>
          </w:p>
          <w:p w14:paraId="187F955C">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用户可设置抗肿瘤药物过敏反应预防药品品种。</w:t>
            </w:r>
          </w:p>
          <w:p w14:paraId="7191B439">
            <w:pPr>
              <w:pStyle w:val="21"/>
              <w:numPr>
                <w:ilvl w:val="0"/>
                <w:numId w:val="9"/>
              </w:numPr>
              <w:spacing w:line="360" w:lineRule="auto"/>
              <w:ind w:firstLine="0" w:firstLineChars="0"/>
              <w:rPr>
                <w:rFonts w:ascii="宋体" w:hAnsi="宋体" w:eastAsia="宋体" w:cs="Arial"/>
                <w:bCs/>
                <w:szCs w:val="21"/>
              </w:rPr>
            </w:pPr>
            <w:r>
              <w:rPr>
                <w:rFonts w:hint="eastAsia" w:ascii="宋体" w:hAnsi="宋体" w:eastAsia="宋体" w:cs="Arial"/>
                <w:bCs/>
                <w:szCs w:val="21"/>
              </w:rPr>
              <w:t>用户可设置质子泵抑制药、抗菌药物用药评估单模板。</w:t>
            </w:r>
          </w:p>
          <w:p w14:paraId="7DBBEBAF">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规则复制功能：系统支持将其它药品已有的自定义规则分模块复制到被选择的药品上。</w:t>
            </w:r>
          </w:p>
          <w:p w14:paraId="2D4D97E1">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▲豁免对象：可根据药品、医生、科室、患者年龄、手术信息、医嘱备注等条件设置特定对象不参与某些模块审查，并可按照模块查看对各种豁免情况的统计。</w:t>
            </w:r>
          </w:p>
          <w:p w14:paraId="14C85D98">
            <w:pPr>
              <w:pStyle w:val="21"/>
              <w:numPr>
                <w:ilvl w:val="0"/>
                <w:numId w:val="8"/>
              </w:numPr>
              <w:spacing w:line="360" w:lineRule="auto"/>
              <w:ind w:firstLine="0" w:firstLineChars="0"/>
              <w:rPr>
                <w:rFonts w:ascii="宋体" w:hAnsi="宋体" w:eastAsia="宋体" w:cs="Arial"/>
                <w:bCs/>
                <w:szCs w:val="21"/>
              </w:rPr>
            </w:pPr>
            <w:r>
              <w:rPr>
                <w:rFonts w:hint="eastAsia" w:ascii="宋体" w:hAnsi="宋体" w:eastAsia="宋体" w:cs="Arial"/>
                <w:bCs/>
                <w:szCs w:val="21"/>
              </w:rPr>
              <w:t xml:space="preserve">自定义规则查询：可查询药品、科室以及各模块的自定义规则。 </w:t>
            </w:r>
          </w:p>
        </w:tc>
      </w:tr>
      <w:tr w14:paraId="41A3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EC456F1">
            <w:pPr>
              <w:pStyle w:val="21"/>
              <w:numPr>
                <w:ilvl w:val="0"/>
                <w:numId w:val="4"/>
              </w:numPr>
              <w:spacing w:line="360" w:lineRule="auto"/>
              <w:ind w:firstLineChars="0"/>
              <w:rPr>
                <w:rFonts w:ascii="宋体" w:hAnsi="宋体" w:eastAsia="宋体"/>
                <w:szCs w:val="21"/>
              </w:rPr>
            </w:pPr>
          </w:p>
        </w:tc>
        <w:tc>
          <w:tcPr>
            <w:tcW w:w="1276" w:type="dxa"/>
            <w:vAlign w:val="center"/>
          </w:tcPr>
          <w:p w14:paraId="2D4851F0">
            <w:pPr>
              <w:spacing w:line="360" w:lineRule="auto"/>
              <w:rPr>
                <w:rFonts w:ascii="宋体" w:hAnsi="宋体" w:eastAsia="宋体"/>
                <w:szCs w:val="21"/>
              </w:rPr>
            </w:pPr>
            <w:r>
              <w:rPr>
                <w:rFonts w:hint="eastAsia" w:ascii="宋体" w:hAnsi="宋体" w:eastAsia="宋体"/>
                <w:szCs w:val="21"/>
              </w:rPr>
              <w:t>统计分析功能</w:t>
            </w:r>
          </w:p>
        </w:tc>
        <w:tc>
          <w:tcPr>
            <w:tcW w:w="6287" w:type="dxa"/>
            <w:vAlign w:val="center"/>
          </w:tcPr>
          <w:p w14:paraId="4A7C3DBA">
            <w:pPr>
              <w:pStyle w:val="21"/>
              <w:numPr>
                <w:ilvl w:val="0"/>
                <w:numId w:val="10"/>
              </w:numPr>
              <w:spacing w:line="360" w:lineRule="auto"/>
              <w:ind w:left="0" w:firstLine="0" w:firstLineChars="0"/>
              <w:rPr>
                <w:rFonts w:ascii="宋体" w:hAnsi="宋体" w:eastAsia="宋体" w:cs="Arial"/>
                <w:bCs/>
                <w:szCs w:val="21"/>
              </w:rPr>
            </w:pPr>
            <w:r>
              <w:rPr>
                <w:rFonts w:hint="eastAsia" w:ascii="宋体" w:hAnsi="宋体" w:eastAsia="宋体" w:cs="Arial"/>
                <w:bCs/>
                <w:szCs w:val="21"/>
              </w:rPr>
              <w:t>问题处方（医嘱）保存、查询，以及不合理问题统计分析。</w:t>
            </w:r>
          </w:p>
          <w:p w14:paraId="1B58E4BC">
            <w:pPr>
              <w:pStyle w:val="21"/>
              <w:numPr>
                <w:ilvl w:val="0"/>
                <w:numId w:val="10"/>
              </w:numPr>
              <w:spacing w:line="360" w:lineRule="auto"/>
              <w:ind w:left="0" w:firstLine="0" w:firstLineChars="0"/>
              <w:rPr>
                <w:rFonts w:ascii="宋体" w:hAnsi="宋体" w:eastAsia="宋体" w:cs="Arial"/>
                <w:bCs/>
                <w:szCs w:val="21"/>
              </w:rPr>
            </w:pPr>
            <w:r>
              <w:rPr>
                <w:rFonts w:hint="eastAsia" w:ascii="宋体" w:hAnsi="宋体" w:eastAsia="宋体" w:cs="Arial"/>
                <w:bCs/>
                <w:szCs w:val="21"/>
              </w:rPr>
              <w:t>提供不合理问题评估功能，便于药师在做回顾性分析时对已评估的问题做记录。</w:t>
            </w:r>
          </w:p>
          <w:p w14:paraId="3C4BC3CF">
            <w:pPr>
              <w:pStyle w:val="21"/>
              <w:numPr>
                <w:ilvl w:val="0"/>
                <w:numId w:val="10"/>
              </w:numPr>
              <w:spacing w:line="360" w:lineRule="auto"/>
              <w:ind w:left="0" w:firstLine="0" w:firstLineChars="0"/>
              <w:rPr>
                <w:rFonts w:ascii="宋体" w:hAnsi="宋体" w:eastAsia="宋体" w:cs="Arial"/>
                <w:bCs/>
                <w:szCs w:val="21"/>
              </w:rPr>
            </w:pPr>
            <w:r>
              <w:rPr>
                <w:rFonts w:hint="eastAsia" w:ascii="宋体" w:hAnsi="宋体" w:eastAsia="宋体" w:cs="Arial"/>
                <w:bCs/>
                <w:szCs w:val="21"/>
              </w:rPr>
              <w:t>用药理由统计</w:t>
            </w:r>
          </w:p>
        </w:tc>
      </w:tr>
      <w:tr w14:paraId="4386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E9465F0">
            <w:pPr>
              <w:pStyle w:val="21"/>
              <w:numPr>
                <w:ilvl w:val="0"/>
                <w:numId w:val="4"/>
              </w:numPr>
              <w:spacing w:line="360" w:lineRule="auto"/>
              <w:ind w:firstLineChars="0"/>
              <w:rPr>
                <w:rFonts w:ascii="宋体" w:hAnsi="宋体" w:eastAsia="宋体"/>
                <w:szCs w:val="21"/>
              </w:rPr>
            </w:pPr>
          </w:p>
        </w:tc>
        <w:tc>
          <w:tcPr>
            <w:tcW w:w="1276" w:type="dxa"/>
            <w:vAlign w:val="center"/>
          </w:tcPr>
          <w:p w14:paraId="5E1779DC">
            <w:pPr>
              <w:spacing w:line="360" w:lineRule="auto"/>
              <w:rPr>
                <w:rFonts w:ascii="宋体" w:hAnsi="宋体" w:eastAsia="宋体"/>
                <w:szCs w:val="21"/>
              </w:rPr>
            </w:pPr>
            <w:r>
              <w:rPr>
                <w:rFonts w:hint="eastAsia" w:ascii="宋体" w:hAnsi="宋体" w:eastAsia="宋体"/>
                <w:szCs w:val="21"/>
              </w:rPr>
              <w:t>通讯功能</w:t>
            </w:r>
          </w:p>
        </w:tc>
        <w:tc>
          <w:tcPr>
            <w:tcW w:w="6287" w:type="dxa"/>
            <w:vAlign w:val="center"/>
          </w:tcPr>
          <w:p w14:paraId="45AAC650">
            <w:pPr>
              <w:pStyle w:val="6"/>
              <w:numPr>
                <w:ilvl w:val="0"/>
                <w:numId w:val="0"/>
              </w:numPr>
              <w:jc w:val="both"/>
              <w:rPr>
                <w:rFonts w:ascii="宋体" w:hAnsi="宋体" w:cs="Arial"/>
                <w:sz w:val="21"/>
                <w:szCs w:val="21"/>
              </w:rPr>
            </w:pPr>
            <w:r>
              <w:rPr>
                <w:rFonts w:hint="eastAsia" w:ascii="宋体" w:hAnsi="宋体" w:cs="Arial"/>
                <w:sz w:val="21"/>
                <w:szCs w:val="21"/>
              </w:rPr>
              <w:t>系统应提供药师和医生的在线沟通平台，提供截图、发送图片、文件传输、消息撤回、消息已读提示功能。</w:t>
            </w:r>
          </w:p>
        </w:tc>
      </w:tr>
    </w:tbl>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6713"/>
      </w:tblGrid>
      <w:tr w14:paraId="726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B95F1CE">
            <w:pPr>
              <w:spacing w:line="360" w:lineRule="auto"/>
              <w:rPr>
                <w:rFonts w:ascii="宋体" w:hAnsi="宋体" w:eastAsia="宋体" w:cs="Arial"/>
                <w:b/>
                <w:bCs/>
                <w:szCs w:val="21"/>
              </w:rPr>
            </w:pPr>
            <w:r>
              <w:rPr>
                <w:rFonts w:hint="eastAsia" w:ascii="宋体" w:hAnsi="宋体" w:eastAsia="宋体" w:cs="Arial"/>
                <w:b/>
                <w:bCs/>
                <w:szCs w:val="21"/>
              </w:rPr>
              <w:t>处方点评系统功能要求</w:t>
            </w:r>
          </w:p>
        </w:tc>
      </w:tr>
      <w:tr w14:paraId="3542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7B9CDA3">
            <w:pPr>
              <w:numPr>
                <w:ilvl w:val="0"/>
                <w:numId w:val="11"/>
              </w:numPr>
              <w:spacing w:line="360" w:lineRule="auto"/>
              <w:rPr>
                <w:rFonts w:ascii="宋体" w:hAnsi="宋体" w:eastAsia="宋体"/>
                <w:szCs w:val="21"/>
              </w:rPr>
            </w:pPr>
          </w:p>
        </w:tc>
        <w:tc>
          <w:tcPr>
            <w:tcW w:w="850" w:type="dxa"/>
            <w:vAlign w:val="center"/>
          </w:tcPr>
          <w:p w14:paraId="2E12CEE4">
            <w:pPr>
              <w:spacing w:line="360" w:lineRule="auto"/>
              <w:rPr>
                <w:rFonts w:ascii="宋体" w:hAnsi="宋体" w:eastAsia="宋体"/>
                <w:szCs w:val="21"/>
              </w:rPr>
            </w:pPr>
            <w:r>
              <w:rPr>
                <w:rFonts w:ascii="宋体" w:hAnsi="宋体" w:eastAsia="宋体"/>
                <w:szCs w:val="21"/>
              </w:rPr>
              <w:t>智慧中心</w:t>
            </w:r>
          </w:p>
        </w:tc>
        <w:tc>
          <w:tcPr>
            <w:tcW w:w="6713" w:type="dxa"/>
            <w:vAlign w:val="center"/>
          </w:tcPr>
          <w:p w14:paraId="2297D13A">
            <w:pPr>
              <w:spacing w:line="360" w:lineRule="auto"/>
              <w:rPr>
                <w:rFonts w:ascii="宋体" w:hAnsi="宋体"/>
                <w:b/>
                <w:bCs/>
                <w:sz w:val="24"/>
              </w:rPr>
            </w:pPr>
            <w:r>
              <w:rPr>
                <w:rFonts w:hint="eastAsia"/>
              </w:rPr>
              <w:t>系统主页应能显示门诊</w:t>
            </w:r>
            <w:r>
              <w:t>/住院点评率、合理率</w:t>
            </w:r>
            <w:r>
              <w:rPr>
                <w:rFonts w:hint="eastAsia"/>
              </w:rPr>
              <w:t>、住</w:t>
            </w:r>
            <w:r>
              <w:rPr>
                <w:rFonts w:hint="eastAsia" w:ascii="宋体" w:hAnsi="宋体" w:cs="Arial"/>
              </w:rPr>
              <w:t>院抗菌药物使用强度、门诊基本药物占比、住院静脉输液使用率等指标。</w:t>
            </w:r>
          </w:p>
        </w:tc>
      </w:tr>
      <w:tr w14:paraId="516C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16C5DE9">
            <w:pPr>
              <w:numPr>
                <w:ilvl w:val="0"/>
                <w:numId w:val="11"/>
              </w:numPr>
              <w:spacing w:line="360" w:lineRule="auto"/>
              <w:ind w:left="562"/>
              <w:rPr>
                <w:rFonts w:ascii="宋体" w:hAnsi="宋体" w:eastAsia="宋体"/>
                <w:szCs w:val="21"/>
              </w:rPr>
            </w:pPr>
          </w:p>
        </w:tc>
        <w:tc>
          <w:tcPr>
            <w:tcW w:w="850" w:type="dxa"/>
            <w:vAlign w:val="center"/>
          </w:tcPr>
          <w:p w14:paraId="455B9F64">
            <w:pPr>
              <w:spacing w:line="360" w:lineRule="auto"/>
              <w:rPr>
                <w:rFonts w:ascii="宋体" w:hAnsi="宋体" w:eastAsia="宋体"/>
                <w:szCs w:val="21"/>
              </w:rPr>
            </w:pPr>
            <w:r>
              <w:rPr>
                <w:rFonts w:hint="eastAsia" w:ascii="宋体" w:hAnsi="宋体" w:eastAsia="宋体" w:cs="Arial"/>
                <w:szCs w:val="21"/>
              </w:rPr>
              <w:t>读取和查看病人信息</w:t>
            </w:r>
          </w:p>
        </w:tc>
        <w:tc>
          <w:tcPr>
            <w:tcW w:w="6713" w:type="dxa"/>
            <w:vAlign w:val="center"/>
          </w:tcPr>
          <w:p w14:paraId="66FEA0CF">
            <w:pPr>
              <w:spacing w:line="360" w:lineRule="auto"/>
              <w:jc w:val="left"/>
              <w:outlineLvl w:val="3"/>
              <w:rPr>
                <w:rFonts w:ascii="宋体" w:hAnsi="宋体" w:eastAsia="宋体" w:cs="Arial"/>
                <w:szCs w:val="21"/>
              </w:rPr>
            </w:pPr>
            <w:r>
              <w:rPr>
                <w:rFonts w:hint="eastAsia" w:ascii="宋体" w:hAnsi="宋体" w:eastAsia="宋体" w:cs="Arial"/>
                <w:szCs w:val="21"/>
              </w:rPr>
              <w:t>系统应能筛选患者并查看患者基本信息、医嘱、诊断、检查、检验、手术、费用、会诊、病程等信息，同时能提供</w:t>
            </w:r>
            <w:r>
              <w:rPr>
                <w:rFonts w:ascii="宋体" w:hAnsi="宋体" w:eastAsia="宋体" w:cs="Arial"/>
                <w:szCs w:val="21"/>
              </w:rPr>
              <w:t>EMR、PACS、LIS</w:t>
            </w:r>
            <w:r>
              <w:rPr>
                <w:rFonts w:hint="eastAsia" w:ascii="宋体" w:hAnsi="宋体" w:eastAsia="宋体" w:cs="Arial"/>
                <w:szCs w:val="21"/>
              </w:rPr>
              <w:t>超链接功能，帮助药师快速切换。</w:t>
            </w:r>
          </w:p>
        </w:tc>
      </w:tr>
      <w:tr w14:paraId="06D8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8F2BF7C">
            <w:pPr>
              <w:numPr>
                <w:ilvl w:val="0"/>
                <w:numId w:val="11"/>
              </w:numPr>
              <w:spacing w:line="360" w:lineRule="auto"/>
              <w:ind w:left="562"/>
              <w:rPr>
                <w:rFonts w:ascii="宋体" w:hAnsi="宋体" w:eastAsia="宋体"/>
                <w:szCs w:val="21"/>
              </w:rPr>
            </w:pPr>
          </w:p>
        </w:tc>
        <w:tc>
          <w:tcPr>
            <w:tcW w:w="850" w:type="dxa"/>
            <w:vAlign w:val="center"/>
          </w:tcPr>
          <w:p w14:paraId="53A8C61F">
            <w:pPr>
              <w:spacing w:line="360" w:lineRule="auto"/>
              <w:rPr>
                <w:rFonts w:ascii="宋体" w:hAnsi="宋体" w:eastAsia="宋体"/>
                <w:szCs w:val="21"/>
              </w:rPr>
            </w:pPr>
            <w:r>
              <w:rPr>
                <w:rFonts w:hint="eastAsia" w:ascii="宋体" w:hAnsi="宋体" w:eastAsia="宋体" w:cs="Arial"/>
                <w:szCs w:val="21"/>
              </w:rPr>
              <w:t>处方点评</w:t>
            </w:r>
          </w:p>
        </w:tc>
        <w:tc>
          <w:tcPr>
            <w:tcW w:w="6713" w:type="dxa"/>
            <w:vAlign w:val="center"/>
          </w:tcPr>
          <w:p w14:paraId="0CC57772">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 xml:space="preserve">系统应结合国家处方点评相关政策要求，实现对处方（医嘱）电子化评价功能。 </w:t>
            </w:r>
            <w:r>
              <w:rPr>
                <w:rFonts w:hint="eastAsia" w:ascii="宋体" w:hAnsi="宋体" w:eastAsia="宋体" w:cs="Arial"/>
                <w:b/>
                <w:sz w:val="24"/>
                <w:szCs w:val="21"/>
              </w:rPr>
              <w:t>▲</w:t>
            </w:r>
            <w:r>
              <w:rPr>
                <w:rFonts w:hint="eastAsia" w:ascii="宋体" w:hAnsi="宋体" w:eastAsia="宋体" w:cs="Arial"/>
                <w:bCs/>
                <w:szCs w:val="21"/>
              </w:rPr>
              <w:t>应能提供程序点评功能，包括对处方（医嘱）用药进行以下程序点评：剂量审查、给药途径审查、相互作用审查、体外注射剂配伍审查、配伍浓度审查、钾离子监测、</w:t>
            </w:r>
            <w:r>
              <w:rPr>
                <w:rFonts w:ascii="宋体" w:hAnsi="宋体" w:eastAsia="宋体" w:cs="Arial"/>
                <w:bCs/>
                <w:szCs w:val="21"/>
              </w:rPr>
              <w:t>TPN处方审查、门诊输液审查、禁忌症审查、不良反应审查、特殊人群用药审查、重复用药审查、适应症审查、</w:t>
            </w:r>
            <w:r>
              <w:rPr>
                <w:rFonts w:hint="eastAsia" w:ascii="宋体" w:hAnsi="宋体" w:eastAsia="宋体" w:cs="Arial"/>
                <w:bCs/>
                <w:szCs w:val="21"/>
              </w:rPr>
              <w:t>药物过敏审查、药物检验值审查、规范性审查、医保审查、越权用药审查、围术期用药审查，并提供审查规则自定义功能，使得点评结果更加符合医院实际用药情况。</w:t>
            </w:r>
          </w:p>
          <w:p w14:paraId="0E83FE46">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78BE7D32">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▲系统应提供双盲点评设置、医生处理点评结果逾期设置、</w:t>
            </w:r>
            <w:r>
              <w:rPr>
                <w:rFonts w:hint="eastAsia" w:eastAsia="宋体" w:asciiTheme="majorHAnsi" w:hAnsiTheme="majorHAnsi" w:cstheme="majorBidi"/>
                <w:szCs w:val="21"/>
              </w:rPr>
              <w:t>增补处方或病人</w:t>
            </w:r>
            <w:r>
              <w:rPr>
                <w:rFonts w:hint="eastAsia" w:ascii="宋体" w:hAnsi="宋体" w:eastAsia="宋体" w:cs="Arial"/>
                <w:szCs w:val="21"/>
              </w:rPr>
              <w:t>、</w:t>
            </w:r>
            <w:r>
              <w:rPr>
                <w:rFonts w:hint="eastAsia" w:ascii="宋体" w:hAnsi="宋体" w:eastAsia="宋体" w:cs="Arial"/>
                <w:bCs/>
                <w:szCs w:val="21"/>
              </w:rPr>
              <w:t xml:space="preserve">高亮显示被点评药品功能，方便药师点评。 </w:t>
            </w:r>
          </w:p>
          <w:p w14:paraId="3ED5E917">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▲系统应能自定义点评模板及点评点，实现个性化点评需求。</w:t>
            </w:r>
          </w:p>
          <w:p w14:paraId="2F5BEFFF">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▲系统应能自动生成住院患者用药联用图、时序图，并支持自定义。住院患者时序图包含患者体征、用药、手术和检验信息等内容。</w:t>
            </w:r>
          </w:p>
          <w:p w14:paraId="7512DEE7">
            <w:pPr>
              <w:numPr>
                <w:ilvl w:val="0"/>
                <w:numId w:val="12"/>
              </w:numPr>
              <w:spacing w:line="360" w:lineRule="auto"/>
              <w:jc w:val="left"/>
              <w:outlineLvl w:val="3"/>
              <w:rPr>
                <w:rFonts w:ascii="宋体" w:hAnsi="宋体" w:eastAsia="宋体" w:cs="Arial"/>
                <w:bCs/>
                <w:szCs w:val="21"/>
              </w:rPr>
            </w:pPr>
            <w:r>
              <w:rPr>
                <w:rFonts w:hint="eastAsia" w:ascii="宋体" w:hAnsi="宋体" w:eastAsia="宋体" w:cs="Arial"/>
                <w:bCs/>
                <w:szCs w:val="21"/>
              </w:rPr>
              <w:t>系统应能自动生成点评相关报表及任务完成情况等管理报表。</w:t>
            </w:r>
          </w:p>
          <w:p w14:paraId="6FFE38E1">
            <w:pPr>
              <w:spacing w:line="360" w:lineRule="auto"/>
            </w:pPr>
            <w:r>
              <w:rPr>
                <w:rFonts w:hint="eastAsia"/>
              </w:rPr>
              <w:t>3</w:t>
            </w:r>
            <w:r>
              <w:t xml:space="preserve">.7 </w:t>
            </w:r>
            <w:r>
              <w:rPr>
                <w:rFonts w:hint="eastAsia"/>
              </w:rPr>
              <w:t>系统应包含全处方点评、全医嘱点评、门急诊</w:t>
            </w:r>
            <w:r>
              <w:t>/</w:t>
            </w:r>
            <w:r>
              <w:rPr>
                <w:rFonts w:hint="eastAsia"/>
              </w:rPr>
              <w:t>住院抗菌药物专项点评、围手术期抗菌药物专项点评、门急诊</w:t>
            </w:r>
            <w:r>
              <w:t>/</w:t>
            </w:r>
            <w:r>
              <w:rPr>
                <w:rFonts w:hint="eastAsia"/>
              </w:rPr>
              <w:t>住院专项药品点评、门急诊</w:t>
            </w:r>
            <w:r>
              <w:t>/</w:t>
            </w:r>
            <w:r>
              <w:rPr>
                <w:rFonts w:hint="eastAsia"/>
              </w:rPr>
              <w:t>住院抗肿瘤药物专项点评、住院病人特殊级抗菌药物专项点评、▲</w:t>
            </w:r>
            <w:r>
              <w:t>住院病人碳青霉烯类及</w:t>
            </w:r>
            <w:r>
              <w:rPr>
                <w:rFonts w:hint="eastAsia"/>
              </w:rPr>
              <w:t>替加环素专项点评、住院病人人血白蛋白专项点评、▲门（急）诊</w:t>
            </w:r>
            <w:r>
              <w:t>/</w:t>
            </w:r>
            <w:r>
              <w:rPr>
                <w:rFonts w:hint="eastAsia"/>
              </w:rPr>
              <w:t>住院中药饮片专项点评、门（急）诊中成药处方专项点评、▲</w:t>
            </w:r>
            <w:r>
              <w:t>用药排名医嘱点评</w:t>
            </w:r>
            <w:r>
              <w:rPr>
                <w:rFonts w:hint="eastAsia"/>
              </w:rPr>
              <w:t>、住院用药医嘱点评、出院带药医嘱点评、门（急）诊基本药物专项点评、▲住院病人肠外营养专项点评、住院病人自备药专项点评</w:t>
            </w:r>
            <w:r>
              <w:rPr>
                <w:rFonts w:hint="eastAsia" w:asciiTheme="minorEastAsia" w:hAnsiTheme="minorEastAsia" w:cstheme="majorBidi"/>
              </w:rPr>
              <w:t>、门（急）诊外延处方点评</w:t>
            </w:r>
            <w:r>
              <w:rPr>
                <w:rFonts w:hint="eastAsia" w:asciiTheme="minorEastAsia" w:hAnsiTheme="minorEastAsia"/>
              </w:rPr>
              <w:t>。</w:t>
            </w:r>
          </w:p>
        </w:tc>
      </w:tr>
      <w:tr w14:paraId="0FDB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A4C08F">
            <w:pPr>
              <w:numPr>
                <w:ilvl w:val="0"/>
                <w:numId w:val="11"/>
              </w:numPr>
              <w:spacing w:line="360" w:lineRule="auto"/>
              <w:ind w:left="562"/>
              <w:rPr>
                <w:rFonts w:ascii="宋体" w:hAnsi="宋体" w:eastAsia="宋体"/>
                <w:szCs w:val="21"/>
              </w:rPr>
            </w:pPr>
          </w:p>
        </w:tc>
        <w:tc>
          <w:tcPr>
            <w:tcW w:w="850" w:type="dxa"/>
            <w:vAlign w:val="center"/>
          </w:tcPr>
          <w:p w14:paraId="447C138D">
            <w:pPr>
              <w:spacing w:line="360" w:lineRule="auto"/>
              <w:rPr>
                <w:rFonts w:ascii="宋体" w:hAnsi="宋体" w:eastAsia="宋体"/>
                <w:szCs w:val="21"/>
              </w:rPr>
            </w:pPr>
            <w:r>
              <w:rPr>
                <w:rFonts w:hint="eastAsia" w:ascii="宋体" w:hAnsi="宋体" w:eastAsia="宋体"/>
                <w:szCs w:val="21"/>
              </w:rPr>
              <w:t>抗菌药物临床应用监测</w:t>
            </w:r>
          </w:p>
        </w:tc>
        <w:tc>
          <w:tcPr>
            <w:tcW w:w="6713" w:type="dxa"/>
            <w:vAlign w:val="center"/>
          </w:tcPr>
          <w:p w14:paraId="6706EDC0">
            <w:pPr>
              <w:spacing w:line="360" w:lineRule="auto"/>
              <w:ind w:firstLine="420" w:firstLineChars="200"/>
              <w:rPr>
                <w:rFonts w:ascii="宋体" w:hAnsi="宋体" w:eastAsia="宋体"/>
                <w:szCs w:val="21"/>
              </w:rPr>
            </w:pPr>
            <w:r>
              <w:rPr>
                <w:rFonts w:hint="eastAsia" w:ascii="宋体" w:hAnsi="宋体" w:eastAsia="宋体" w:cs="Arial"/>
                <w:bCs/>
                <w:szCs w:val="21"/>
              </w:rPr>
              <w:t>系统应根据卫生部《抗菌药物临床应用监测方案》中的相关规定，完成抗菌药物临床应用监测网要求的抗菌药物使用情况统计及上报工作。▲系统应提供手术</w:t>
            </w:r>
            <w:r>
              <w:rPr>
                <w:rFonts w:ascii="宋体" w:hAnsi="宋体" w:eastAsia="宋体" w:cs="Arial"/>
                <w:bCs/>
                <w:szCs w:val="21"/>
              </w:rPr>
              <w:t>/非手术抗菌药物使用情况调查表、门诊</w:t>
            </w:r>
            <w:r>
              <w:rPr>
                <w:rFonts w:hint="eastAsia" w:ascii="宋体" w:hAnsi="宋体" w:eastAsia="宋体" w:cs="Arial"/>
                <w:bCs/>
                <w:szCs w:val="21"/>
              </w:rPr>
              <w:t>/急诊处方用药情况、</w:t>
            </w:r>
            <w:r>
              <w:rPr>
                <w:rFonts w:ascii="宋体" w:hAnsi="宋体" w:eastAsia="宋体" w:cs="Arial"/>
                <w:bCs/>
                <w:szCs w:val="21"/>
              </w:rPr>
              <w:t>住院患者抗菌药物使用情况统计报表的离线上报功能，可直接上传文档</w:t>
            </w:r>
            <w:r>
              <w:rPr>
                <w:rFonts w:hint="eastAsia" w:ascii="宋体" w:hAnsi="宋体" w:eastAsia="宋体" w:cs="Arial"/>
                <w:bCs/>
                <w:szCs w:val="21"/>
              </w:rPr>
              <w:t>至监测网完成填报工作，避免二次填写。</w:t>
            </w:r>
          </w:p>
        </w:tc>
      </w:tr>
      <w:tr w14:paraId="21EF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BFA6260">
            <w:pPr>
              <w:numPr>
                <w:ilvl w:val="0"/>
                <w:numId w:val="11"/>
              </w:numPr>
              <w:spacing w:line="360" w:lineRule="auto"/>
              <w:ind w:left="562"/>
              <w:rPr>
                <w:rFonts w:ascii="宋体" w:hAnsi="宋体" w:eastAsia="宋体"/>
                <w:szCs w:val="21"/>
              </w:rPr>
            </w:pPr>
          </w:p>
        </w:tc>
        <w:tc>
          <w:tcPr>
            <w:tcW w:w="850" w:type="dxa"/>
            <w:vAlign w:val="center"/>
          </w:tcPr>
          <w:p w14:paraId="4F9D058B">
            <w:pPr>
              <w:spacing w:line="360" w:lineRule="auto"/>
              <w:rPr>
                <w:rFonts w:ascii="宋体" w:hAnsi="宋体" w:eastAsia="宋体"/>
                <w:szCs w:val="21"/>
              </w:rPr>
            </w:pPr>
            <w:r>
              <w:rPr>
                <w:rFonts w:ascii="宋体" w:hAnsi="宋体" w:eastAsia="宋体"/>
                <w:szCs w:val="21"/>
              </w:rPr>
              <w:t>电子药历</w:t>
            </w:r>
          </w:p>
        </w:tc>
        <w:tc>
          <w:tcPr>
            <w:tcW w:w="6713" w:type="dxa"/>
            <w:vAlign w:val="center"/>
          </w:tcPr>
          <w:p w14:paraId="55EA8B53">
            <w:pPr>
              <w:spacing w:line="360" w:lineRule="auto"/>
              <w:ind w:firstLine="420" w:firstLineChars="200"/>
              <w:rPr>
                <w:rFonts w:ascii="宋体" w:hAnsi="宋体" w:eastAsia="宋体" w:cs="Arial"/>
                <w:bCs/>
                <w:szCs w:val="21"/>
              </w:rPr>
            </w:pPr>
            <w:r>
              <w:rPr>
                <w:rFonts w:hint="eastAsia" w:ascii="宋体" w:hAnsi="宋体" w:eastAsia="宋体" w:cs="Arial"/>
                <w:bCs/>
                <w:szCs w:val="21"/>
              </w:rPr>
              <w:t>系统应提供工作药历、教学药历、查房记录填写模块，同时允许用户自定义药历的显示内容。系统应提供药历提交、审阅、退回、导出流程。应提供工作量统计，按时间段分别统计药历书写量及药历审阅量。</w:t>
            </w:r>
          </w:p>
        </w:tc>
      </w:tr>
      <w:tr w14:paraId="0A2C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2133E8">
            <w:pPr>
              <w:numPr>
                <w:ilvl w:val="0"/>
                <w:numId w:val="11"/>
              </w:numPr>
              <w:spacing w:line="360" w:lineRule="auto"/>
              <w:ind w:left="562"/>
              <w:rPr>
                <w:rFonts w:ascii="宋体" w:hAnsi="宋体" w:eastAsia="宋体"/>
                <w:szCs w:val="21"/>
              </w:rPr>
            </w:pPr>
          </w:p>
        </w:tc>
        <w:tc>
          <w:tcPr>
            <w:tcW w:w="850" w:type="dxa"/>
            <w:vAlign w:val="center"/>
          </w:tcPr>
          <w:p w14:paraId="42D108B9">
            <w:pPr>
              <w:spacing w:line="360" w:lineRule="auto"/>
              <w:rPr>
                <w:rFonts w:ascii="宋体" w:hAnsi="宋体" w:eastAsia="宋体"/>
                <w:szCs w:val="21"/>
              </w:rPr>
            </w:pPr>
            <w:r>
              <w:rPr>
                <w:rFonts w:ascii="宋体" w:hAnsi="宋体" w:eastAsia="宋体"/>
                <w:szCs w:val="21"/>
              </w:rPr>
              <w:t>统计分析</w:t>
            </w:r>
          </w:p>
        </w:tc>
        <w:tc>
          <w:tcPr>
            <w:tcW w:w="6713" w:type="dxa"/>
            <w:vAlign w:val="center"/>
          </w:tcPr>
          <w:p w14:paraId="684878F2">
            <w:pPr>
              <w:spacing w:line="360" w:lineRule="auto"/>
              <w:rPr>
                <w:rFonts w:ascii="宋体" w:hAnsi="宋体" w:eastAsia="宋体" w:cs="Arial"/>
                <w:bCs/>
                <w:szCs w:val="21"/>
              </w:rPr>
            </w:pPr>
            <w:r>
              <w:rPr>
                <w:rFonts w:hint="eastAsia" w:ascii="宋体" w:hAnsi="宋体" w:eastAsia="宋体" w:cs="Arial"/>
                <w:bCs/>
                <w:szCs w:val="21"/>
              </w:rPr>
              <w:t>系统应提供对医院合理用药指标及药品使用情况的统计分析，并能自定义显示和导出。同时提供关键字检索功能，便于快速查询指标。</w:t>
            </w:r>
          </w:p>
          <w:p w14:paraId="3F54D0A7">
            <w:pPr>
              <w:keepNext/>
              <w:keepLines/>
              <w:numPr>
                <w:ilvl w:val="0"/>
                <w:numId w:val="13"/>
              </w:numPr>
              <w:spacing w:line="360" w:lineRule="auto"/>
              <w:jc w:val="left"/>
              <w:outlineLvl w:val="3"/>
              <w:rPr>
                <w:rFonts w:cs="Arial" w:asciiTheme="minorEastAsia" w:hAnsiTheme="minorEastAsia"/>
                <w:szCs w:val="21"/>
              </w:rPr>
            </w:pPr>
            <w:r>
              <w:rPr>
                <w:rFonts w:hint="eastAsia" w:cs="Arial" w:asciiTheme="minorEastAsia" w:hAnsiTheme="minorEastAsia"/>
                <w:szCs w:val="21"/>
              </w:rPr>
              <w:t>合理用药指标及趋势分析，包括：抗菌药物使用率</w:t>
            </w:r>
            <w:r>
              <w:rPr>
                <w:rFonts w:hint="eastAsia" w:cs="Arial" w:asciiTheme="minorEastAsia" w:hAnsiTheme="minorEastAsia"/>
                <w:sz w:val="24"/>
                <w:szCs w:val="21"/>
              </w:rPr>
              <w:t>、</w:t>
            </w:r>
            <w:r>
              <w:rPr>
                <w:rFonts w:hint="eastAsia" w:cs="Arial" w:asciiTheme="minorEastAsia" w:hAnsiTheme="minorEastAsia"/>
                <w:szCs w:val="21"/>
              </w:rPr>
              <w:t>平均用药品种数、注射剂使用率、抗菌药物患者使用前病原送检率、</w:t>
            </w:r>
            <w:r>
              <w:rPr>
                <w:rFonts w:cs="Arial" w:asciiTheme="minorEastAsia" w:hAnsiTheme="minorEastAsia"/>
                <w:szCs w:val="21"/>
              </w:rPr>
              <w:t>X</w:t>
            </w:r>
            <w:r>
              <w:rPr>
                <w:rFonts w:hint="eastAsia" w:cs="Arial" w:asciiTheme="minorEastAsia" w:hAnsiTheme="minorEastAsia"/>
                <w:szCs w:val="21"/>
              </w:rPr>
              <w:t>类切口手术预防用抗菌药物百分率、</w:t>
            </w:r>
            <w:r>
              <w:rPr>
                <w:rFonts w:cs="Arial" w:asciiTheme="minorEastAsia" w:hAnsiTheme="minorEastAsia"/>
                <w:szCs w:val="21"/>
              </w:rPr>
              <w:t>X</w:t>
            </w:r>
            <w:r>
              <w:rPr>
                <w:rFonts w:hint="eastAsia" w:cs="Arial" w:asciiTheme="minorEastAsia" w:hAnsiTheme="minorEastAsia"/>
                <w:szCs w:val="21"/>
              </w:rPr>
              <w:t>类切口手术术前</w:t>
            </w:r>
            <w:r>
              <w:rPr>
                <w:rFonts w:cs="Arial" w:asciiTheme="minorEastAsia" w:hAnsiTheme="minorEastAsia"/>
                <w:szCs w:val="21"/>
              </w:rPr>
              <w:t>0.5-1.0</w:t>
            </w:r>
            <w:r>
              <w:rPr>
                <w:rFonts w:hint="eastAsia" w:cs="Arial" w:asciiTheme="minorEastAsia" w:hAnsiTheme="minorEastAsia"/>
                <w:szCs w:val="21"/>
              </w:rPr>
              <w:t>小时预防给药百分率等。应能按全院、大科室、科室、医疗组、医生分别提供合理用药相关指标的统计，并能将合理用药指标重新组合并生成新的报表。</w:t>
            </w:r>
            <w:r>
              <w:rPr>
                <w:rFonts w:hint="eastAsia" w:asciiTheme="minorEastAsia" w:hAnsiTheme="minorEastAsia" w:cstheme="majorBidi"/>
                <w:szCs w:val="21"/>
              </w:rPr>
              <w:t>应能实现抗菌药物使用强度、抗菌药物使用率、抗菌药物使用量、</w:t>
            </w:r>
            <w:r>
              <w:rPr>
                <w:rFonts w:asciiTheme="minorEastAsia" w:hAnsiTheme="minorEastAsia" w:cstheme="majorBidi"/>
                <w:szCs w:val="21"/>
              </w:rPr>
              <w:t>I</w:t>
            </w:r>
            <w:r>
              <w:rPr>
                <w:rFonts w:hint="eastAsia" w:asciiTheme="minorEastAsia" w:hAnsiTheme="minorEastAsia" w:cstheme="majorBidi"/>
                <w:szCs w:val="21"/>
              </w:rPr>
              <w:t>类切口手术预防用抗菌药物百分率、国家基本药物药占比同比、环比分析。</w:t>
            </w:r>
          </w:p>
          <w:p w14:paraId="33D5705C">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自定义合理用药指标</w:t>
            </w:r>
          </w:p>
          <w:p w14:paraId="1E443D29">
            <w:pPr>
              <w:spacing w:line="360" w:lineRule="auto"/>
              <w:ind w:firstLine="420" w:firstLineChars="200"/>
              <w:rPr>
                <w:rFonts w:ascii="宋体" w:hAnsi="宋体" w:eastAsia="宋体" w:cs="Arial"/>
                <w:bCs/>
                <w:szCs w:val="21"/>
              </w:rPr>
            </w:pPr>
            <w:r>
              <w:rPr>
                <w:rFonts w:hint="eastAsia" w:ascii="宋体" w:hAnsi="宋体" w:eastAsia="宋体" w:cs="Arial"/>
                <w:bCs/>
                <w:szCs w:val="21"/>
              </w:rPr>
              <w:t>▲系统应提供自定义合理用药指标功能，可自行设置指标分子、分母进行统计。自定义要素包含药品、治疗金额、药品金额、处方数、病人数、药品品种数、使用量DDDs、人天数、用药医嘱条目数。</w:t>
            </w:r>
          </w:p>
          <w:p w14:paraId="3AEB092A">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药品使用强度统计</w:t>
            </w:r>
          </w:p>
          <w:p w14:paraId="65CB5DBB">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药品金额、数量、</w:t>
            </w:r>
            <w:r>
              <w:rPr>
                <w:rFonts w:ascii="宋体" w:hAnsi="宋体" w:eastAsia="宋体" w:cs="Arial"/>
                <w:bCs/>
                <w:szCs w:val="21"/>
              </w:rPr>
              <w:t>DDDs统计</w:t>
            </w:r>
          </w:p>
          <w:p w14:paraId="45D7C818">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药品使用人次统计</w:t>
            </w:r>
          </w:p>
          <w:p w14:paraId="02240F8C">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注射剂</w:t>
            </w:r>
            <w:r>
              <w:rPr>
                <w:rFonts w:ascii="宋体" w:hAnsi="宋体" w:eastAsia="宋体" w:cs="Arial"/>
                <w:bCs/>
                <w:szCs w:val="21"/>
              </w:rPr>
              <w:t>/大容量注射液统计</w:t>
            </w:r>
          </w:p>
          <w:p w14:paraId="3C7524A2">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药品品种</w:t>
            </w:r>
            <w:r>
              <w:rPr>
                <w:rFonts w:ascii="宋体" w:hAnsi="宋体" w:eastAsia="宋体" w:cs="Arial"/>
                <w:bCs/>
                <w:szCs w:val="21"/>
              </w:rPr>
              <w:t>/费用构成统计</w:t>
            </w:r>
          </w:p>
          <w:p w14:paraId="750B2C39">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门（急）诊大处方分析</w:t>
            </w:r>
          </w:p>
          <w:p w14:paraId="48AC8197">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抗菌药物使用清单及统计</w:t>
            </w:r>
          </w:p>
          <w:p w14:paraId="1CF45380">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基本药物使用清单及统计</w:t>
            </w:r>
          </w:p>
          <w:p w14:paraId="64342094">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重点监控合理用药药品监测</w:t>
            </w:r>
          </w:p>
          <w:p w14:paraId="3ED2A7C1">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麻精药品管理处方登记表</w:t>
            </w:r>
          </w:p>
          <w:p w14:paraId="327A76B9">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▲国家三级公立医院绩效考核</w:t>
            </w:r>
          </w:p>
          <w:p w14:paraId="1F29685B">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药事管理专业医疗质量控制指标</w:t>
            </w:r>
          </w:p>
          <w:p w14:paraId="12953A09">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▲全国抗菌药物临床应用管理数据统计</w:t>
            </w:r>
          </w:p>
          <w:p w14:paraId="01E02FFC">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▲国家卫生健康委抗菌药物临床应用管理数据上报</w:t>
            </w:r>
          </w:p>
          <w:p w14:paraId="109D7951">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▲全国合理用药监测系统数据统计</w:t>
            </w:r>
          </w:p>
          <w:p w14:paraId="0443D6B3">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医疗机构药品使用监测</w:t>
            </w:r>
          </w:p>
          <w:p w14:paraId="399032F8">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▲抗肿瘤药物临床应用情况调查表</w:t>
            </w:r>
          </w:p>
          <w:p w14:paraId="1C372256">
            <w:pPr>
              <w:keepNext/>
              <w:keepLines/>
              <w:numPr>
                <w:ilvl w:val="0"/>
                <w:numId w:val="13"/>
              </w:numPr>
              <w:spacing w:line="360" w:lineRule="auto"/>
              <w:jc w:val="left"/>
              <w:outlineLvl w:val="3"/>
              <w:rPr>
                <w:rFonts w:ascii="宋体" w:hAnsi="宋体" w:eastAsia="宋体" w:cs="Arial"/>
                <w:bCs/>
                <w:szCs w:val="21"/>
              </w:rPr>
            </w:pPr>
            <w:r>
              <w:rPr>
                <w:rFonts w:hint="eastAsia" w:ascii="宋体" w:hAnsi="宋体" w:eastAsia="宋体" w:cs="Arial"/>
                <w:bCs/>
                <w:szCs w:val="21"/>
              </w:rPr>
              <w:t>静脉输液使用情况调查表</w:t>
            </w:r>
          </w:p>
        </w:tc>
      </w:tr>
      <w:tr w14:paraId="4B63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64C536">
            <w:pPr>
              <w:numPr>
                <w:ilvl w:val="0"/>
                <w:numId w:val="11"/>
              </w:numPr>
              <w:spacing w:line="360" w:lineRule="auto"/>
              <w:ind w:left="562"/>
              <w:rPr>
                <w:rFonts w:ascii="宋体" w:hAnsi="宋体" w:eastAsia="宋体"/>
                <w:szCs w:val="21"/>
              </w:rPr>
            </w:pPr>
          </w:p>
        </w:tc>
        <w:tc>
          <w:tcPr>
            <w:tcW w:w="850" w:type="dxa"/>
            <w:vAlign w:val="center"/>
          </w:tcPr>
          <w:p w14:paraId="4FEE7A97">
            <w:pPr>
              <w:spacing w:line="360" w:lineRule="auto"/>
              <w:rPr>
                <w:rFonts w:ascii="宋体" w:hAnsi="宋体" w:eastAsia="宋体"/>
                <w:szCs w:val="21"/>
              </w:rPr>
            </w:pPr>
            <w:r>
              <w:rPr>
                <w:rFonts w:ascii="宋体" w:hAnsi="宋体" w:eastAsia="宋体"/>
                <w:szCs w:val="21"/>
              </w:rPr>
              <w:t>其它</w:t>
            </w:r>
          </w:p>
        </w:tc>
        <w:tc>
          <w:tcPr>
            <w:tcW w:w="6713" w:type="dxa"/>
            <w:vAlign w:val="center"/>
          </w:tcPr>
          <w:p w14:paraId="0AE1C1C2">
            <w:pPr>
              <w:numPr>
                <w:ilvl w:val="0"/>
                <w:numId w:val="14"/>
              </w:numPr>
              <w:spacing w:line="360" w:lineRule="auto"/>
              <w:rPr>
                <w:rFonts w:ascii="宋体" w:hAnsi="宋体" w:eastAsia="宋体" w:cs="Arial"/>
                <w:bCs/>
                <w:szCs w:val="21"/>
              </w:rPr>
            </w:pPr>
            <w:r>
              <w:rPr>
                <w:rFonts w:hint="eastAsia" w:ascii="宋体" w:hAnsi="宋体" w:eastAsia="宋体" w:cs="Arial"/>
                <w:bCs/>
                <w:szCs w:val="21"/>
              </w:rPr>
              <w:t>自维护功能</w:t>
            </w:r>
          </w:p>
          <w:p w14:paraId="11D2ED38">
            <w:pPr>
              <w:spacing w:line="360" w:lineRule="auto"/>
              <w:ind w:firstLine="420" w:firstLineChars="200"/>
              <w:rPr>
                <w:rFonts w:ascii="宋体" w:hAnsi="宋体" w:eastAsia="宋体" w:cs="Arial"/>
                <w:bCs/>
                <w:szCs w:val="21"/>
              </w:rPr>
            </w:pPr>
            <w:r>
              <w:rPr>
                <w:rFonts w:ascii="宋体" w:hAnsi="宋体" w:eastAsia="宋体" w:cs="Arial"/>
                <w:bCs/>
                <w:szCs w:val="21"/>
              </w:rPr>
              <w:t>▲</w:t>
            </w:r>
            <w:r>
              <w:rPr>
                <w:rFonts w:hint="eastAsia" w:ascii="宋体" w:hAnsi="宋体" w:eastAsia="宋体" w:cs="Arial"/>
                <w:bCs/>
                <w:szCs w:val="21"/>
              </w:rPr>
              <w:t>系统应对医院药品属性、</w:t>
            </w:r>
            <w:r>
              <w:rPr>
                <w:rFonts w:hint="eastAsia" w:ascii="宋体" w:hAnsi="宋体" w:eastAsia="宋体"/>
                <w:szCs w:val="21"/>
              </w:rPr>
              <w:t>给药途径、给药频次、感染疾病类型、检验申请/结果/收费项目类型、手术分类、科室类型、医生抗菌药物权限、围术期用药</w:t>
            </w:r>
            <w:r>
              <w:rPr>
                <w:rFonts w:ascii="宋体" w:hAnsi="宋体" w:eastAsia="宋体" w:cs="Arial"/>
                <w:bCs/>
                <w:szCs w:val="21"/>
              </w:rPr>
              <w:t>等基础数据进行程序自动维护。</w:t>
            </w:r>
          </w:p>
          <w:p w14:paraId="63E34A98">
            <w:pPr>
              <w:numPr>
                <w:ilvl w:val="0"/>
                <w:numId w:val="14"/>
              </w:numPr>
              <w:spacing w:line="360" w:lineRule="auto"/>
              <w:rPr>
                <w:rFonts w:ascii="宋体" w:hAnsi="宋体" w:eastAsia="宋体" w:cs="Arial"/>
                <w:bCs/>
                <w:szCs w:val="21"/>
              </w:rPr>
            </w:pPr>
            <w:r>
              <w:rPr>
                <w:rFonts w:hint="eastAsia" w:ascii="宋体" w:hAnsi="宋体" w:eastAsia="宋体" w:cs="Arial"/>
                <w:bCs/>
                <w:szCs w:val="21"/>
              </w:rPr>
              <w:t>权限管理</w:t>
            </w:r>
          </w:p>
          <w:p w14:paraId="21B18D7A">
            <w:pPr>
              <w:keepNext/>
              <w:keepLines/>
              <w:numPr>
                <w:ilvl w:val="0"/>
                <w:numId w:val="15"/>
              </w:numPr>
              <w:spacing w:line="360" w:lineRule="auto"/>
              <w:jc w:val="left"/>
              <w:outlineLvl w:val="4"/>
              <w:rPr>
                <w:rFonts w:ascii="宋体" w:hAnsi="宋体" w:eastAsia="宋体" w:cs="Arial"/>
                <w:bCs/>
                <w:szCs w:val="21"/>
              </w:rPr>
            </w:pPr>
            <w:r>
              <w:rPr>
                <w:rFonts w:hint="eastAsia" w:ascii="宋体" w:hAnsi="宋体" w:eastAsia="宋体" w:cs="Arial"/>
                <w:bCs/>
                <w:szCs w:val="21"/>
              </w:rPr>
              <w:t>系统应对各项功能设置严格的权限管理，包括处方点评权限、报表的统计权限、打印</w:t>
            </w:r>
            <w:r>
              <w:rPr>
                <w:rFonts w:ascii="宋体" w:hAnsi="宋体" w:eastAsia="宋体" w:cs="Arial"/>
                <w:bCs/>
                <w:szCs w:val="21"/>
              </w:rPr>
              <w:t>/导出权限等。</w:t>
            </w:r>
          </w:p>
          <w:p w14:paraId="338D3625">
            <w:pPr>
              <w:keepNext/>
              <w:keepLines/>
              <w:numPr>
                <w:ilvl w:val="0"/>
                <w:numId w:val="15"/>
              </w:numPr>
              <w:spacing w:line="360" w:lineRule="auto"/>
              <w:jc w:val="left"/>
              <w:outlineLvl w:val="4"/>
              <w:rPr>
                <w:rFonts w:ascii="宋体" w:hAnsi="宋体" w:eastAsia="宋体" w:cs="Arial"/>
                <w:bCs/>
                <w:szCs w:val="21"/>
              </w:rPr>
            </w:pPr>
            <w:r>
              <w:rPr>
                <w:rFonts w:ascii="宋体" w:hAnsi="宋体" w:eastAsia="宋体" w:cs="Arial"/>
                <w:bCs/>
                <w:szCs w:val="21"/>
              </w:rPr>
              <w:t>▲</w:t>
            </w:r>
            <w:r>
              <w:rPr>
                <w:rFonts w:hint="eastAsia" w:ascii="宋体" w:hAnsi="宋体" w:eastAsia="宋体" w:cs="Arial"/>
                <w:bCs/>
                <w:szCs w:val="21"/>
              </w:rPr>
              <w:t>系统应提供用户操作日志、版本更新内容查询功能。</w:t>
            </w:r>
          </w:p>
        </w:tc>
      </w:tr>
    </w:tbl>
    <w:tbl>
      <w:tblPr>
        <w:tblStyle w:val="13"/>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881"/>
        <w:gridCol w:w="6832"/>
      </w:tblGrid>
      <w:tr w14:paraId="67C4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647" w:type="dxa"/>
            <w:gridSpan w:val="3"/>
            <w:vAlign w:val="center"/>
          </w:tcPr>
          <w:p w14:paraId="7D20A0C3">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药物信息查询</w:t>
            </w:r>
          </w:p>
        </w:tc>
      </w:tr>
      <w:tr w14:paraId="4E9A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0096A3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43D2650">
            <w:pPr>
              <w:adjustRightInd w:val="0"/>
              <w:snapToGrid w:val="0"/>
              <w:spacing w:line="360" w:lineRule="auto"/>
              <w:jc w:val="center"/>
              <w:rPr>
                <w:rFonts w:ascii="宋体" w:hAnsi="宋体" w:eastAsia="宋体" w:cs="宋体"/>
                <w:bCs/>
                <w:szCs w:val="21"/>
              </w:rPr>
            </w:pPr>
            <w:r>
              <w:rPr>
                <w:rFonts w:ascii="宋体" w:hAnsi="宋体" w:eastAsia="宋体" w:cs="Arial"/>
                <w:sz w:val="24"/>
                <w:szCs w:val="28"/>
              </w:rPr>
              <w:t>▲</w:t>
            </w:r>
            <w:r>
              <w:rPr>
                <w:rFonts w:hint="eastAsia" w:ascii="宋体" w:hAnsi="宋体" w:eastAsia="宋体" w:cs="宋体"/>
                <w:bCs/>
                <w:szCs w:val="21"/>
              </w:rPr>
              <w:t>药物信息参考</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28F38CA0">
            <w:pPr>
              <w:numPr>
                <w:ilvl w:val="0"/>
                <w:numId w:val="17"/>
              </w:numPr>
              <w:tabs>
                <w:tab w:val="left" w:pos="0"/>
              </w:tabs>
              <w:spacing w:line="360" w:lineRule="auto"/>
              <w:rPr>
                <w:rFonts w:ascii="宋体" w:hAnsi="宋体" w:eastAsia="宋体" w:cs="宋体"/>
                <w:bCs/>
                <w:szCs w:val="21"/>
              </w:rPr>
            </w:pPr>
            <w:r>
              <w:rPr>
                <w:rFonts w:hint="eastAsia" w:ascii="宋体" w:hAnsi="宋体" w:eastAsia="宋体" w:cs="宋体"/>
                <w:bCs/>
                <w:szCs w:val="21"/>
              </w:rPr>
              <w:t>系统应提供国内外上市药品的详细临床用药信息，内容包括药物的各种名称、临床应用、用法与用量、注意事项、不良反应、药物相互作用、给药说明、药理、制剂与规格等信息。</w:t>
            </w:r>
          </w:p>
          <w:p w14:paraId="2266AD7E">
            <w:pPr>
              <w:numPr>
                <w:ilvl w:val="0"/>
                <w:numId w:val="17"/>
              </w:numPr>
              <w:tabs>
                <w:tab w:val="left" w:pos="709"/>
              </w:tabs>
              <w:spacing w:line="360" w:lineRule="auto"/>
              <w:rPr>
                <w:rFonts w:ascii="宋体" w:hAnsi="宋体" w:eastAsia="宋体" w:cs="宋体"/>
                <w:bCs/>
                <w:szCs w:val="21"/>
              </w:rPr>
            </w:pPr>
            <w:r>
              <w:rPr>
                <w:rFonts w:hint="eastAsia" w:ascii="宋体" w:hAnsi="宋体" w:eastAsia="宋体" w:cs="宋体"/>
                <w:bCs/>
                <w:szCs w:val="21"/>
              </w:rPr>
              <w:t>应可查看特殊人群（老人、儿童、妊娠期妇女、哺乳期妇女）及特殊疾病状态（如肝功能不全、肾功能不全、心力衰竭等）患者用药的注意事项。</w:t>
            </w:r>
          </w:p>
          <w:p w14:paraId="581A8CAB">
            <w:pPr>
              <w:numPr>
                <w:ilvl w:val="0"/>
                <w:numId w:val="17"/>
              </w:numPr>
              <w:tabs>
                <w:tab w:val="left" w:pos="709"/>
              </w:tabs>
              <w:spacing w:line="360" w:lineRule="auto"/>
              <w:rPr>
                <w:rFonts w:ascii="宋体" w:hAnsi="宋体" w:eastAsia="宋体" w:cs="宋体"/>
                <w:bCs/>
                <w:szCs w:val="21"/>
              </w:rPr>
            </w:pPr>
            <w:r>
              <w:rPr>
                <w:rFonts w:hint="eastAsia" w:ascii="宋体" w:hAnsi="宋体" w:eastAsia="宋体" w:cs="宋体"/>
                <w:bCs/>
                <w:szCs w:val="21"/>
              </w:rPr>
              <w:t xml:space="preserve">应提供与药物临床应用密切相关的信息如不良反应处理方法、药物对检验值或诊断的影响等。 </w:t>
            </w:r>
          </w:p>
          <w:p w14:paraId="0D936A6B">
            <w:pPr>
              <w:numPr>
                <w:ilvl w:val="0"/>
                <w:numId w:val="17"/>
              </w:numPr>
              <w:tabs>
                <w:tab w:val="left" w:pos="709"/>
              </w:tabs>
              <w:spacing w:line="360" w:lineRule="auto"/>
              <w:rPr>
                <w:rFonts w:ascii="宋体" w:hAnsi="宋体" w:eastAsia="宋体" w:cs="宋体"/>
                <w:bCs/>
                <w:szCs w:val="21"/>
              </w:rPr>
            </w:pPr>
            <w:r>
              <w:rPr>
                <w:rFonts w:hint="eastAsia" w:ascii="宋体" w:hAnsi="宋体" w:eastAsia="宋体" w:cs="宋体"/>
                <w:bCs/>
                <w:szCs w:val="21"/>
              </w:rPr>
              <w:t>应提供高警讯药物、国外专科信息供临床参考。</w:t>
            </w:r>
          </w:p>
          <w:p w14:paraId="6B664CBB">
            <w:pPr>
              <w:numPr>
                <w:ilvl w:val="0"/>
                <w:numId w:val="17"/>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所有信息均应提供参考文献。</w:t>
            </w:r>
          </w:p>
        </w:tc>
      </w:tr>
      <w:tr w14:paraId="2D95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B59A0E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587EE202">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药品说明书</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16B15EFD">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系统应提供国家药品监督管理局（NMPA）批准的厂家药品说明书，应可查看NMPA发布的说明书修订通知。还应提供高级检索的功能。</w:t>
            </w:r>
          </w:p>
        </w:tc>
      </w:tr>
      <w:tr w14:paraId="10EC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77E2329">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D17DCB2">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用药教育</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577A7BCB">
            <w:pPr>
              <w:tabs>
                <w:tab w:val="left" w:pos="709"/>
              </w:tabs>
              <w:spacing w:line="360" w:lineRule="auto"/>
              <w:rPr>
                <w:rFonts w:ascii="宋体" w:hAnsi="宋体" w:eastAsia="宋体" w:cs="宋体"/>
                <w:bCs/>
                <w:szCs w:val="21"/>
              </w:rPr>
            </w:pPr>
            <w:r>
              <w:rPr>
                <w:rFonts w:hint="eastAsia" w:ascii="宋体" w:hAnsi="宋体" w:eastAsia="宋体" w:cs="宋体"/>
                <w:bCs/>
                <w:szCs w:val="21"/>
              </w:rPr>
              <w:t>系统应为专业人员提供便于辅导病人用药的信息，以通俗易懂的语言，借助图片等形式描述药品的用途、副作用、用药期间注意事项、特殊给药方式图示等信息。</w:t>
            </w:r>
          </w:p>
        </w:tc>
      </w:tr>
      <w:tr w14:paraId="6C05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48DBFB9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A501943">
            <w:pPr>
              <w:adjustRightInd w:val="0"/>
              <w:snapToGrid w:val="0"/>
              <w:spacing w:line="360" w:lineRule="auto"/>
              <w:jc w:val="center"/>
              <w:rPr>
                <w:rFonts w:ascii="宋体" w:hAnsi="宋体" w:eastAsia="宋体" w:cs="宋体"/>
                <w:bCs/>
                <w:szCs w:val="21"/>
              </w:rPr>
            </w:pPr>
            <w:r>
              <w:rPr>
                <w:rFonts w:ascii="宋体" w:hAnsi="宋体" w:eastAsia="宋体" w:cs="宋体"/>
                <w:bCs/>
                <w:szCs w:val="21"/>
              </w:rPr>
              <w:t>ICD</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2DE602C5">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系统应提供ICD10、ICD-9-CM-3、肿瘤形态学编码、ICD-11和国家医疗保障DRG分组的查询功能。</w:t>
            </w:r>
          </w:p>
        </w:tc>
      </w:tr>
      <w:tr w14:paraId="6AED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AE31A00">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5692388">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ATC编码与DDD值</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7D84CE5A">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系统应提供国内外权威机构发布的药物ATC编码与DDD值，应可查看药物对应的上市药品信息。</w:t>
            </w:r>
          </w:p>
        </w:tc>
      </w:tr>
      <w:tr w14:paraId="5364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C5021C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92CFDA7">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检验值</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6E0BBD24">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系统应提供常用检验项目信息，应包含检验项目正常参考值范围、结果及临床意义、药物对检验结果的影响等内容。可按检验类别查询，也可按检验名称查询检验值信息。</w:t>
            </w:r>
          </w:p>
        </w:tc>
      </w:tr>
      <w:tr w14:paraId="3800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F767E0F">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FCEE98E">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药品基本信息</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7FE2B9D5">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14:paraId="5A9E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97E53F9">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7E686167">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临床路径</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056DA6A1">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系统应提供国家卫健委发布的临床路径，应覆盖临床常见疾病品种。可按临床科室分类浏览，也可按疾病关键词检索临床路径。</w:t>
            </w:r>
          </w:p>
        </w:tc>
      </w:tr>
      <w:tr w14:paraId="086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1054156">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1A82C60">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医药公式</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6BBB3830">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系统应提供常用医药公式、评分、分级标准量表等，内容涵盖了内科、外科、妇产科、儿科、神经科等，公式应提供计算功能。可按临床科室分类浏览，也可按公式名称检索。</w:t>
            </w:r>
          </w:p>
        </w:tc>
      </w:tr>
      <w:tr w14:paraId="160C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607168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58F8670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医药时讯</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4C95488A">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系统应提供国内外政府网站和医药学专业数据库、核心期刊发布的最新药物研究成果、药物警戒信息、新药研发和上市资讯等内容。</w:t>
            </w:r>
          </w:p>
        </w:tc>
      </w:tr>
      <w:tr w14:paraId="3ED5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1CFFDBA">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23456A97">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医药法规</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3916E82B">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14:paraId="290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55DB949">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799FD7D">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药物相互作用审查</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099E6155">
            <w:pPr>
              <w:numPr>
                <w:ilvl w:val="0"/>
                <w:numId w:val="18"/>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系统应提供药物-药物、药物-食物、▲药物-咖啡因、药物-酒精、药物-保健品、保健品-保健品之间的相互作用信息，应提供西药和西药、中药和中药、中药和西药的相互作用信息。</w:t>
            </w:r>
          </w:p>
          <w:p w14:paraId="1C08A0D8">
            <w:pPr>
              <w:numPr>
                <w:ilvl w:val="0"/>
                <w:numId w:val="18"/>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▲内容应包括药物相互作用的结果、机制、临床处理、严重级别、案例评价及讨论等内容。</w:t>
            </w:r>
          </w:p>
          <w:p w14:paraId="120F4355">
            <w:pPr>
              <w:numPr>
                <w:ilvl w:val="0"/>
                <w:numId w:val="18"/>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▲应可实现单药相互作用分析及多药相互作用审查。</w:t>
            </w:r>
          </w:p>
          <w:p w14:paraId="6E96C494">
            <w:pPr>
              <w:numPr>
                <w:ilvl w:val="0"/>
                <w:numId w:val="18"/>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▲参考文献应包含国内外的期刊文献、数据库等。</w:t>
            </w:r>
          </w:p>
        </w:tc>
      </w:tr>
      <w:tr w14:paraId="20B7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F1CF472">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4DA80BE">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注射剂配伍审查</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2D89F63B">
            <w:p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系统应提供注射药物配伍的信息，内容包括了注射药物配伍的物理化学变化及药效学变化、支持配伍结论的实验数据等。▲应可实现单药注射剂配伍分析及多药注射配伍进行审查。</w:t>
            </w:r>
          </w:p>
        </w:tc>
      </w:tr>
      <w:tr w14:paraId="4DB6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4D6E81C9">
            <w:pPr>
              <w:widowControl/>
              <w:numPr>
                <w:ilvl w:val="0"/>
                <w:numId w:val="16"/>
              </w:numPr>
              <w:adjustRightInd w:val="0"/>
              <w:snapToGrid w:val="0"/>
              <w:spacing w:line="360" w:lineRule="auto"/>
              <w:jc w:val="center"/>
              <w:rPr>
                <w:rFonts w:ascii="宋体" w:hAnsi="宋体" w:eastAsia="宋体" w:cs="宋体"/>
                <w:bCs/>
                <w:szCs w:val="21"/>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2375E1A0">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其他功能</w:t>
            </w:r>
          </w:p>
        </w:tc>
        <w:tc>
          <w:tcPr>
            <w:tcW w:w="6832" w:type="dxa"/>
            <w:tcBorders>
              <w:top w:val="single" w:color="auto" w:sz="4" w:space="0"/>
              <w:left w:val="single" w:color="auto" w:sz="4" w:space="0"/>
              <w:bottom w:val="single" w:color="auto" w:sz="4" w:space="0"/>
              <w:right w:val="single" w:color="auto" w:sz="4" w:space="0"/>
            </w:tcBorders>
            <w:shd w:val="clear" w:color="auto" w:fill="auto"/>
            <w:vAlign w:val="center"/>
          </w:tcPr>
          <w:p w14:paraId="7C5D7649">
            <w:pPr>
              <w:numPr>
                <w:ilvl w:val="0"/>
                <w:numId w:val="19"/>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系统应支持分类浏览、关键词检索，可通过适应症、禁忌症、不良反应、全文检索等方式检索，支持名称及拼音简码检索，支持单数据库检索及多数据库检索。</w:t>
            </w:r>
          </w:p>
          <w:p w14:paraId="288FD372">
            <w:pPr>
              <w:numPr>
                <w:ilvl w:val="0"/>
                <w:numId w:val="19"/>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系统应支持对药物信息进行比较。</w:t>
            </w:r>
          </w:p>
          <w:p w14:paraId="30AF78E2">
            <w:pPr>
              <w:numPr>
                <w:ilvl w:val="0"/>
                <w:numId w:val="19"/>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系统应支持数据库之间相互关联和快速跳转。</w:t>
            </w:r>
          </w:p>
          <w:p w14:paraId="56BD3FFB">
            <w:pPr>
              <w:numPr>
                <w:ilvl w:val="0"/>
                <w:numId w:val="19"/>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▲支持手机APP在线访问。</w:t>
            </w:r>
          </w:p>
          <w:p w14:paraId="354C5DC5">
            <w:pPr>
              <w:numPr>
                <w:ilvl w:val="0"/>
                <w:numId w:val="19"/>
              </w:numPr>
              <w:adjustRightInd w:val="0"/>
              <w:snapToGrid w:val="0"/>
              <w:spacing w:line="360" w:lineRule="auto"/>
              <w:rPr>
                <w:rFonts w:ascii="宋体" w:hAnsi="宋体" w:eastAsia="宋体" w:cs="宋体"/>
                <w:bCs/>
                <w:szCs w:val="21"/>
              </w:rPr>
            </w:pPr>
            <w:r>
              <w:rPr>
                <w:rFonts w:hint="eastAsia" w:ascii="宋体" w:hAnsi="宋体" w:eastAsia="宋体" w:cs="宋体"/>
                <w:bCs/>
                <w:szCs w:val="21"/>
              </w:rPr>
              <w:t>▲定期更新，更新频率应不少于10次/年。</w:t>
            </w:r>
          </w:p>
        </w:tc>
      </w:tr>
    </w:tbl>
    <w:p w14:paraId="5ED297CC">
      <w:pPr>
        <w:pStyle w:val="21"/>
        <w:numPr>
          <w:ilvl w:val="0"/>
          <w:numId w:val="0"/>
        </w:numPr>
        <w:spacing w:line="360" w:lineRule="auto"/>
        <w:ind w:leftChars="0" w:right="118" w:rightChars="56"/>
        <w:rPr>
          <w:rFonts w:asciiTheme="minorEastAsia" w:hAnsiTheme="minorEastAsia"/>
          <w:szCs w:val="21"/>
        </w:rPr>
      </w:pPr>
    </w:p>
    <w:p w14:paraId="0F4C495D">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4"/>
      <w:bookmarkEnd w:id="15"/>
      <w:bookmarkEnd w:id="16"/>
      <w:bookmarkEnd w:id="17"/>
    </w:p>
    <w:tbl>
      <w:tblPr>
        <w:tblStyle w:val="22"/>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采购服务期3年，合同1年1签，每次有效期1年</w:t>
            </w:r>
          </w:p>
        </w:tc>
        <w:tc>
          <w:tcPr>
            <w:tcW w:w="700" w:type="dxa"/>
            <w:vAlign w:val="center"/>
          </w:tcPr>
          <w:p w14:paraId="493E6033">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hint="eastAsia"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提供为期1年的系统维护</w:t>
            </w:r>
            <w:bookmarkStart w:id="26" w:name="_GoBack"/>
            <w:bookmarkEnd w:id="26"/>
          </w:p>
        </w:tc>
        <w:tc>
          <w:tcPr>
            <w:tcW w:w="700" w:type="dxa"/>
            <w:vAlign w:val="center"/>
          </w:tcPr>
          <w:p w14:paraId="2584E30A">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7</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3</w:t>
            </w:r>
            <w:r>
              <w:rPr>
                <w:rFonts w:hint="eastAsia" w:cs="Arial" w:asciiTheme="majorEastAsia" w:hAnsiTheme="majorEastAsia" w:eastAsiaTheme="majorEastAsia"/>
                <w:bCs/>
                <w:kern w:val="0"/>
                <w:sz w:val="20"/>
                <w:szCs w:val="21"/>
              </w:rPr>
              <w:t>0%。</w:t>
            </w:r>
          </w:p>
        </w:tc>
        <w:tc>
          <w:tcPr>
            <w:tcW w:w="700" w:type="dxa"/>
            <w:vAlign w:val="center"/>
          </w:tcPr>
          <w:p w14:paraId="1D8ABFBD">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snapToGrid w:val="0"/>
              <w:spacing w:line="360" w:lineRule="auto"/>
              <w:jc w:val="center"/>
              <w:rPr>
                <w:szCs w:val="21"/>
              </w:rPr>
            </w:pPr>
            <w:r>
              <w:rPr>
                <w:rFonts w:hint="eastAsia"/>
                <w:szCs w:val="21"/>
              </w:rPr>
              <w:t>报价要求</w:t>
            </w:r>
          </w:p>
        </w:tc>
        <w:tc>
          <w:tcPr>
            <w:tcW w:w="6526" w:type="dxa"/>
            <w:vAlign w:val="center"/>
          </w:tcPr>
          <w:p w14:paraId="61C6FD44">
            <w:pPr>
              <w:snapToGrid w:val="0"/>
              <w:spacing w:line="360" w:lineRule="auto"/>
              <w:rPr>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14:paraId="10C99D88">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bl>
    <w:p w14:paraId="2CEAC4C1"/>
    <w:p w14:paraId="2AA4E08A">
      <w:pPr>
        <w:spacing w:line="360" w:lineRule="auto"/>
        <w:ind w:firstLine="480" w:firstLineChars="200"/>
        <w:rPr>
          <w:sz w:val="24"/>
          <w:szCs w:val="24"/>
        </w:rPr>
      </w:pPr>
    </w:p>
    <w:p w14:paraId="28C2C35E">
      <w:pPr>
        <w:pStyle w:val="2"/>
      </w:pPr>
    </w:p>
    <w:p w14:paraId="22B6ED9A"/>
    <w:p w14:paraId="3AB36DA4">
      <w:pPr>
        <w:pStyle w:val="2"/>
      </w:pPr>
    </w:p>
    <w:p w14:paraId="6DA6F9ED"/>
    <w:p w14:paraId="38A50E4A"/>
    <w:p w14:paraId="2D0BBFA4">
      <w:pPr>
        <w:pStyle w:val="2"/>
      </w:pPr>
    </w:p>
    <w:p w14:paraId="30111B94"/>
    <w:p w14:paraId="3142DFB2">
      <w:pPr>
        <w:pStyle w:val="2"/>
      </w:pPr>
    </w:p>
    <w:p w14:paraId="2ED7AC8F"/>
    <w:p w14:paraId="546C18C3">
      <w:pPr>
        <w:pStyle w:val="2"/>
      </w:pPr>
    </w:p>
    <w:p w14:paraId="19F12B7B"/>
    <w:p w14:paraId="654C7280">
      <w:pPr>
        <w:pStyle w:val="2"/>
      </w:pPr>
    </w:p>
    <w:p w14:paraId="3CB329F3"/>
    <w:p w14:paraId="3CBFCCEC">
      <w:pPr>
        <w:pStyle w:val="2"/>
      </w:pPr>
    </w:p>
    <w:p w14:paraId="0772ACE8">
      <w:pPr>
        <w:pStyle w:val="3"/>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3"/>
        <w:spacing w:line="240" w:lineRule="auto"/>
        <w:jc w:val="center"/>
        <w:rPr>
          <w:rFonts w:hint="eastAsia" w:ascii="宋体" w:hAnsi="宋体"/>
        </w:rPr>
      </w:pPr>
      <w:bookmarkStart w:id="19" w:name="_Toc112435681"/>
      <w:r>
        <w:rPr>
          <w:rFonts w:hint="eastAsia" w:ascii="宋体" w:hAnsi="宋体"/>
        </w:rPr>
        <w:t>第五章  响应文件格式</w:t>
      </w:r>
      <w:bookmarkEnd w:id="19"/>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20" w:name="_Toc499204520"/>
      <w:r>
        <w:rPr>
          <w:bCs/>
          <w:spacing w:val="100"/>
          <w:w w:val="110"/>
          <w:kern w:val="0"/>
          <w:sz w:val="28"/>
          <w:szCs w:val="28"/>
        </w:rPr>
        <w:t>封面：</w:t>
      </w:r>
      <w:bookmarkEnd w:id="20"/>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1" w:name="_Toc499204521"/>
      <w:r>
        <w:rPr>
          <w:sz w:val="44"/>
          <w:szCs w:val="44"/>
        </w:rPr>
        <w:t>目</w:t>
      </w:r>
      <w:r>
        <w:rPr>
          <w:rFonts w:hint="eastAsia"/>
          <w:sz w:val="44"/>
          <w:szCs w:val="44"/>
        </w:rPr>
        <w:t xml:space="preserve">  </w:t>
      </w:r>
      <w:r>
        <w:rPr>
          <w:sz w:val="44"/>
          <w:szCs w:val="44"/>
        </w:rPr>
        <w:t>录</w:t>
      </w:r>
      <w:bookmarkEnd w:id="21"/>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2" w:name="_Hlk13851301"/>
      <w:r>
        <w:rPr>
          <w:rFonts w:hint="eastAsia"/>
          <w:sz w:val="24"/>
        </w:rPr>
        <w:t>附件6商务要求响应、偏离说明表</w:t>
      </w:r>
    </w:p>
    <w:bookmarkEnd w:id="22"/>
    <w:p w14:paraId="0AC8B04B">
      <w:pPr>
        <w:spacing w:line="480" w:lineRule="auto"/>
        <w:rPr>
          <w:sz w:val="24"/>
        </w:rPr>
      </w:pPr>
      <w:r>
        <w:br w:type="page"/>
      </w:r>
      <w:bookmarkStart w:id="23" w:name="_Toc499204522"/>
      <w:r>
        <w:rPr>
          <w:sz w:val="24"/>
        </w:rPr>
        <w:t>附件1</w:t>
      </w:r>
      <w:bookmarkEnd w:id="23"/>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服务期为合同签订之日起一年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合理用药系统维保</w:t>
            </w:r>
            <w:r>
              <w:rPr>
                <w:rFonts w:hint="eastAsia" w:ascii="宋体" w:hAnsi="宋体" w:cs="宋体"/>
                <w:sz w:val="24"/>
              </w:rPr>
              <w:t>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合同签订后30个日历日内，甲方向乙方支付合同价款的70%，服务期满后30个日历日内支付余款30%。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20"/>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4" w:name="_Toc511648600"/>
      <w:r>
        <w:rPr>
          <w:bCs/>
          <w:sz w:val="24"/>
        </w:rPr>
        <w:br w:type="page"/>
      </w:r>
      <w:r>
        <w:rPr>
          <w:bCs/>
          <w:sz w:val="24"/>
        </w:rPr>
        <w:t>附件</w:t>
      </w:r>
      <w:bookmarkEnd w:id="24"/>
      <w:bookmarkStart w:id="25" w:name="_Toc511648593"/>
      <w:r>
        <w:rPr>
          <w:rFonts w:hint="eastAsia"/>
          <w:bCs/>
          <w:sz w:val="24"/>
        </w:rPr>
        <w:t>5</w:t>
      </w:r>
    </w:p>
    <w:bookmarkEnd w:id="25"/>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9"/>
      <w:framePr w:wrap="around" w:vAnchor="text" w:hAnchor="margin" w:xAlign="center" w:y="2"/>
      <w:rPr>
        <w:rStyle w:val="16"/>
      </w:rPr>
    </w:pPr>
    <w:r>
      <w:fldChar w:fldCharType="begin"/>
    </w:r>
    <w:r>
      <w:rPr>
        <w:rStyle w:val="16"/>
      </w:rPr>
      <w:instrText xml:space="preserve">PAGE  </w:instrText>
    </w:r>
    <w:r>
      <w:fldChar w:fldCharType="end"/>
    </w:r>
  </w:p>
  <w:p w14:paraId="1DFCB04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4A2A9B"/>
    <w:multiLevelType w:val="multilevel"/>
    <w:tmpl w:val="044A2A9B"/>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7409FA"/>
    <w:multiLevelType w:val="multilevel"/>
    <w:tmpl w:val="047409FA"/>
    <w:lvl w:ilvl="0" w:tentative="0">
      <w:start w:val="1"/>
      <w:numFmt w:val="decimal"/>
      <w:lvlText w:val="%1"/>
      <w:lvlJc w:val="left"/>
      <w:pPr>
        <w:ind w:left="360" w:hanging="360"/>
      </w:pPr>
      <w:rPr>
        <w:rFonts w:hint="default"/>
      </w:rPr>
    </w:lvl>
    <w:lvl w:ilvl="1" w:tentative="0">
      <w:start w:val="1"/>
      <w:numFmt w:val="decimal"/>
      <w:lvlText w:val="1.%2"/>
      <w:lvlJc w:val="left"/>
      <w:rPr>
        <w:rFonts w:hint="eastAsia"/>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0FED2156"/>
    <w:multiLevelType w:val="multilevel"/>
    <w:tmpl w:val="0FED2156"/>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A5100F"/>
    <w:multiLevelType w:val="multilevel"/>
    <w:tmpl w:val="11A5100F"/>
    <w:lvl w:ilvl="0" w:tentative="0">
      <w:start w:val="1"/>
      <w:numFmt w:val="decimal"/>
      <w:lvlText w:val="3.%1"/>
      <w:lvlJc w:val="left"/>
      <w:pPr>
        <w:ind w:left="420" w:hanging="420"/>
      </w:pPr>
      <w:rPr>
        <w:rFonts w:hint="eastAsia" w:ascii="宋体" w:hAnsi="宋体" w:eastAsia="宋体"/>
        <w:b w:val="0"/>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7F625E"/>
    <w:multiLevelType w:val="multilevel"/>
    <w:tmpl w:val="157F625E"/>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81748D"/>
    <w:multiLevelType w:val="multilevel"/>
    <w:tmpl w:val="1781748D"/>
    <w:lvl w:ilvl="0" w:tentative="0">
      <w:start w:val="1"/>
      <w:numFmt w:val="decimal"/>
      <w:lvlText w:val="8.%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85D8F5"/>
    <w:multiLevelType w:val="singleLevel"/>
    <w:tmpl w:val="1C85D8F5"/>
    <w:lvl w:ilvl="0" w:tentative="0">
      <w:start w:val="3"/>
      <w:numFmt w:val="chineseCounting"/>
      <w:suff w:val="nothing"/>
      <w:lvlText w:val="%1、"/>
      <w:lvlJc w:val="left"/>
      <w:rPr>
        <w:rFonts w:hint="eastAsia"/>
      </w:rPr>
    </w:lvl>
  </w:abstractNum>
  <w:abstractNum w:abstractNumId="10">
    <w:nsid w:val="238028C8"/>
    <w:multiLevelType w:val="multilevel"/>
    <w:tmpl w:val="238028C8"/>
    <w:lvl w:ilvl="0" w:tentative="0">
      <w:start w:val="1"/>
      <w:numFmt w:val="decimal"/>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E161EB"/>
    <w:multiLevelType w:val="multilevel"/>
    <w:tmpl w:val="25E161EB"/>
    <w:lvl w:ilvl="0" w:tentative="0">
      <w:start w:val="1"/>
      <w:numFmt w:val="decimal"/>
      <w:lvlText w:val="6.%1"/>
      <w:lvlJc w:val="left"/>
      <w:pPr>
        <w:ind w:left="440" w:hanging="440"/>
      </w:pPr>
      <w:rPr>
        <w:rFonts w:hint="eastAsia" w:asciiTheme="minorEastAsia" w:hAnsiTheme="minorEastAsia" w:eastAsiaTheme="minor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25D595F"/>
    <w:multiLevelType w:val="multilevel"/>
    <w:tmpl w:val="325D595F"/>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FB72B2"/>
    <w:multiLevelType w:val="multilevel"/>
    <w:tmpl w:val="32FB72B2"/>
    <w:lvl w:ilvl="0" w:tentative="0">
      <w:start w:val="1"/>
      <w:numFmt w:val="decimal"/>
      <w:lvlText w:val="3.%1"/>
      <w:lvlJc w:val="left"/>
      <w:pPr>
        <w:ind w:left="420" w:hanging="420"/>
      </w:pPr>
      <w:rPr>
        <w:rFonts w:hint="eastAsia" w:ascii="宋体" w:hAnsi="宋体" w:eastAsia="宋体"/>
        <w:b w:val="0"/>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FD61ED"/>
    <w:multiLevelType w:val="multilevel"/>
    <w:tmpl w:val="35FD61ED"/>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306C11"/>
    <w:multiLevelType w:val="multilevel"/>
    <w:tmpl w:val="42306C11"/>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284" w:firstLine="0"/>
      </w:pPr>
      <w:rPr>
        <w:rFonts w:hint="eastAsia"/>
        <w:b/>
        <w:bCs w:val="0"/>
        <w:i w:val="0"/>
      </w:rPr>
    </w:lvl>
    <w:lvl w:ilvl="2" w:tentative="0">
      <w:start w:val="1"/>
      <w:numFmt w:val="decimal"/>
      <w:pStyle w:val="6"/>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52E5E59"/>
    <w:multiLevelType w:val="multilevel"/>
    <w:tmpl w:val="652E5E59"/>
    <w:lvl w:ilvl="0" w:tentative="0">
      <w:start w:val="1"/>
      <w:numFmt w:val="decimal"/>
      <w:lvlText w:val="14.%1"/>
      <w:lvlJc w:val="left"/>
      <w:pPr>
        <w:ind w:left="420" w:hanging="420"/>
      </w:pPr>
      <w:rPr>
        <w:rFonts w:hint="eastAsia"/>
      </w:rPr>
    </w:lvl>
    <w:lvl w:ilvl="1" w:tentative="0">
      <w:start w:val="2"/>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4D0224"/>
    <w:multiLevelType w:val="multilevel"/>
    <w:tmpl w:val="7B4D0224"/>
    <w:lvl w:ilvl="0" w:tentative="0">
      <w:start w:val="1"/>
      <w:numFmt w:val="decimal"/>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8"/>
  </w:num>
  <w:num w:numId="3">
    <w:abstractNumId w:val="9"/>
  </w:num>
  <w:num w:numId="4">
    <w:abstractNumId w:val="18"/>
  </w:num>
  <w:num w:numId="5">
    <w:abstractNumId w:val="3"/>
  </w:num>
  <w:num w:numId="6">
    <w:abstractNumId w:val="13"/>
  </w:num>
  <w:num w:numId="7">
    <w:abstractNumId w:val="11"/>
  </w:num>
  <w:num w:numId="8">
    <w:abstractNumId w:val="7"/>
  </w:num>
  <w:num w:numId="9">
    <w:abstractNumId w:val="10"/>
  </w:num>
  <w:num w:numId="10">
    <w:abstractNumId w:val="6"/>
  </w:num>
  <w:num w:numId="11">
    <w:abstractNumId w:val="4"/>
  </w:num>
  <w:num w:numId="12">
    <w:abstractNumId w:val="5"/>
  </w:num>
  <w:num w:numId="13">
    <w:abstractNumId w:val="19"/>
  </w:num>
  <w:num w:numId="14">
    <w:abstractNumId w:val="2"/>
  </w:num>
  <w:num w:numId="15">
    <w:abstractNumId w:val="15"/>
  </w:num>
  <w:num w:numId="16">
    <w:abstractNumId w:val="0"/>
  </w:num>
  <w:num w:numId="17">
    <w:abstractNumId w:val="12"/>
  </w:num>
  <w:num w:numId="18">
    <w:abstractNumId w:val="14"/>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8DF474E"/>
    <w:rsid w:val="0A3C6DD0"/>
    <w:rsid w:val="0B2C17A1"/>
    <w:rsid w:val="0D2408D0"/>
    <w:rsid w:val="0DBC0FC0"/>
    <w:rsid w:val="114B61F2"/>
    <w:rsid w:val="130A3C9C"/>
    <w:rsid w:val="13B71D15"/>
    <w:rsid w:val="19453E94"/>
    <w:rsid w:val="1B3129B2"/>
    <w:rsid w:val="1CED5716"/>
    <w:rsid w:val="1E477FF5"/>
    <w:rsid w:val="22285CF5"/>
    <w:rsid w:val="22C059B2"/>
    <w:rsid w:val="30D84FEE"/>
    <w:rsid w:val="316D3DF6"/>
    <w:rsid w:val="346D0BB7"/>
    <w:rsid w:val="37346D09"/>
    <w:rsid w:val="38A30A45"/>
    <w:rsid w:val="3D37175C"/>
    <w:rsid w:val="3D936525"/>
    <w:rsid w:val="4072722B"/>
    <w:rsid w:val="407707ED"/>
    <w:rsid w:val="41820C7B"/>
    <w:rsid w:val="42E47C90"/>
    <w:rsid w:val="449A0092"/>
    <w:rsid w:val="44C01D12"/>
    <w:rsid w:val="46E143D8"/>
    <w:rsid w:val="48A4239B"/>
    <w:rsid w:val="4BF2341E"/>
    <w:rsid w:val="50AB485D"/>
    <w:rsid w:val="51B11329"/>
    <w:rsid w:val="52202C79"/>
    <w:rsid w:val="5B44705D"/>
    <w:rsid w:val="5BB91955"/>
    <w:rsid w:val="5C545A2F"/>
    <w:rsid w:val="5EB91362"/>
    <w:rsid w:val="62B73A4D"/>
    <w:rsid w:val="72DE42CF"/>
    <w:rsid w:val="750C2E1E"/>
    <w:rsid w:val="75801E5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unhideWhenUsed/>
    <w:qFormat/>
    <w:uiPriority w:val="9"/>
    <w:pPr>
      <w:keepNext/>
      <w:keepLines/>
      <w:spacing w:line="360" w:lineRule="auto"/>
      <w:jc w:val="left"/>
      <w:outlineLvl w:val="3"/>
    </w:pPr>
    <w:rPr>
      <w:rFonts w:eastAsia="宋体" w:asciiTheme="majorHAnsi" w:hAnsiTheme="majorHAnsi" w:cstheme="majorBidi"/>
      <w:b/>
      <w:bCs/>
      <w:sz w:val="24"/>
      <w:szCs w:val="28"/>
    </w:rPr>
  </w:style>
  <w:style w:type="paragraph" w:styleId="6">
    <w:name w:val="heading 5"/>
    <w:basedOn w:val="1"/>
    <w:next w:val="1"/>
    <w:unhideWhenUsed/>
    <w:qFormat/>
    <w:uiPriority w:val="9"/>
    <w:pPr>
      <w:keepNext/>
      <w:keepLines/>
      <w:numPr>
        <w:ilvl w:val="2"/>
        <w:numId w:val="1"/>
      </w:numPr>
      <w:spacing w:line="360" w:lineRule="auto"/>
      <w:jc w:val="left"/>
      <w:outlineLvl w:val="4"/>
    </w:pPr>
    <w:rPr>
      <w:rFonts w:eastAsia="宋体"/>
      <w:bCs/>
      <w:sz w:val="24"/>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7">
    <w:name w:val="toc 3"/>
    <w:basedOn w:val="1"/>
    <w:autoRedefine/>
    <w:unhideWhenUsed/>
    <w:qFormat/>
    <w:uiPriority w:val="39"/>
    <w:pPr>
      <w:ind w:left="840" w:leftChars="400"/>
    </w:pPr>
  </w:style>
  <w:style w:type="paragraph" w:styleId="8">
    <w:name w:val="Date"/>
    <w:basedOn w:val="1"/>
    <w:next w:val="1"/>
    <w:qFormat/>
    <w:uiPriority w:val="0"/>
    <w:pPr>
      <w:widowControl/>
      <w:ind w:left="100" w:leftChars="2500" w:firstLine="360"/>
      <w:jc w:val="left"/>
    </w:pPr>
    <w:rPr>
      <w:color w:val="0000FF"/>
      <w:kern w:val="0"/>
      <w:sz w:val="24"/>
      <w:szCs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autoRedefine/>
    <w:qFormat/>
    <w:uiPriority w:val="39"/>
    <w:pPr>
      <w:tabs>
        <w:tab w:val="right" w:leader="dot" w:pos="9061"/>
      </w:tabs>
    </w:pPr>
    <w:rPr>
      <w:rFonts w:ascii="宋体" w:hAnsi="宋体" w:eastAsia="仿宋_GB2312"/>
      <w:b/>
      <w:sz w:val="32"/>
    </w:rPr>
  </w:style>
  <w:style w:type="paragraph" w:styleId="12">
    <w:name w:val="toc 2"/>
    <w:basedOn w:val="1"/>
    <w:autoRedefine/>
    <w:qFormat/>
    <w:uiPriority w:val="39"/>
    <w:pPr>
      <w:widowControl/>
      <w:ind w:left="420" w:leftChars="200"/>
      <w:jc w:val="left"/>
    </w:pPr>
    <w:rPr>
      <w:kern w:val="0"/>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autoRedefine/>
    <w:unhideWhenUsed/>
    <w:qFormat/>
    <w:uiPriority w:val="0"/>
  </w:style>
  <w:style w:type="character" w:styleId="17">
    <w:name w:val="Hyperlink"/>
    <w:basedOn w:val="15"/>
    <w:autoRedefine/>
    <w:qFormat/>
    <w:uiPriority w:val="99"/>
    <w:rPr>
      <w:color w:val="0000FF"/>
      <w:u w:val="single"/>
    </w:rPr>
  </w:style>
  <w:style w:type="paragraph" w:customStyle="1" w:styleId="18">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正文缩进1"/>
    <w:basedOn w:val="1"/>
    <w:autoRedefine/>
    <w:qFormat/>
    <w:uiPriority w:val="0"/>
    <w:pPr>
      <w:ind w:firstLine="200" w:firstLineChars="200"/>
    </w:pPr>
  </w:style>
  <w:style w:type="paragraph" w:customStyle="1" w:styleId="20">
    <w:name w:val="样式1-ZW"/>
    <w:basedOn w:val="1"/>
    <w:autoRedefine/>
    <w:qFormat/>
    <w:uiPriority w:val="0"/>
    <w:pPr>
      <w:spacing w:line="360" w:lineRule="auto"/>
      <w:ind w:firstLine="480" w:firstLineChars="200"/>
    </w:pPr>
    <w:rPr>
      <w:rFonts w:ascii="宋体" w:hAnsi="宋体" w:cs="宋体"/>
      <w:sz w:val="24"/>
      <w:szCs w:val="24"/>
    </w:rPr>
  </w:style>
  <w:style w:type="paragraph" w:styleId="21">
    <w:name w:val="List Paragraph"/>
    <w:basedOn w:val="1"/>
    <w:autoRedefine/>
    <w:qFormat/>
    <w:uiPriority w:val="1"/>
    <w:rPr>
      <w:rFonts w:ascii="Calibri" w:hAnsi="Calibri"/>
      <w:szCs w:val="22"/>
    </w:rPr>
  </w:style>
  <w:style w:type="table" w:customStyle="1" w:styleId="22">
    <w:name w:val="网格型浅色1"/>
    <w:basedOn w:val="13"/>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table" w:customStyle="1" w:styleId="23">
    <w:name w:val="网格型1"/>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8689</Words>
  <Characters>8959</Characters>
  <Lines>0</Lines>
  <Paragraphs>0</Paragraphs>
  <TotalTime>0</TotalTime>
  <ScaleCrop>false</ScaleCrop>
  <LinksUpToDate>false</LinksUpToDate>
  <CharactersWithSpaces>9049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2025-06-18T07:16:47Z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